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11E09F" w14:textId="35ED921A" w:rsidR="002F405A" w:rsidRDefault="002F405A" w:rsidP="00806A0D"/>
    <w:p w14:paraId="11E3165F" w14:textId="12603192" w:rsidR="002F405A" w:rsidRDefault="002F405A" w:rsidP="00806A0D"/>
    <w:p w14:paraId="4FDDEF7C" w14:textId="77777777" w:rsidR="002F405A" w:rsidRDefault="002F405A" w:rsidP="00806A0D"/>
    <w:p w14:paraId="10395200" w14:textId="77777777" w:rsidR="002F405A" w:rsidRDefault="002F405A" w:rsidP="00806A0D"/>
    <w:p w14:paraId="020B7756" w14:textId="77777777" w:rsidR="002F405A" w:rsidRDefault="002F405A" w:rsidP="00806A0D"/>
    <w:p w14:paraId="0CEDCD9A" w14:textId="77777777" w:rsidR="002F405A" w:rsidRDefault="00E0573D" w:rsidP="00256817">
      <w:pPr>
        <w:ind w:left="0"/>
        <w:jc w:val="center"/>
      </w:pPr>
      <w:r>
        <w:rPr>
          <w:noProof/>
          <w:lang w:eastAsia="en-GB"/>
        </w:rPr>
        <w:drawing>
          <wp:inline distT="0" distB="0" distL="0" distR="0" wp14:anchorId="744BDAF6" wp14:editId="1D1C089B">
            <wp:extent cx="1905000" cy="224325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08417" cy="2247274"/>
                    </a:xfrm>
                    <a:prstGeom prst="rect">
                      <a:avLst/>
                    </a:prstGeom>
                    <a:noFill/>
                  </pic:spPr>
                </pic:pic>
              </a:graphicData>
            </a:graphic>
          </wp:inline>
        </w:drawing>
      </w:r>
    </w:p>
    <w:p w14:paraId="19F538A2" w14:textId="032845B4" w:rsidR="002F405A" w:rsidRPr="00A71AF8" w:rsidRDefault="002F405A" w:rsidP="00806A0D">
      <w:pPr>
        <w:ind w:left="0"/>
        <w:jc w:val="center"/>
        <w:rPr>
          <w:b/>
        </w:rPr>
      </w:pPr>
      <w:r w:rsidRPr="00A71AF8">
        <w:rPr>
          <w:b/>
        </w:rPr>
        <w:t xml:space="preserve">Chief Constable </w:t>
      </w:r>
      <w:r w:rsidR="00E70612">
        <w:rPr>
          <w:b/>
        </w:rPr>
        <w:t xml:space="preserve">of </w:t>
      </w:r>
      <w:r w:rsidRPr="00A71AF8">
        <w:rPr>
          <w:b/>
        </w:rPr>
        <w:t>Lincolnshire</w:t>
      </w:r>
    </w:p>
    <w:p w14:paraId="6F8A6559" w14:textId="77777777" w:rsidR="002F405A" w:rsidRPr="00A71AF8" w:rsidRDefault="002F405A" w:rsidP="00806A0D">
      <w:pPr>
        <w:ind w:left="0"/>
        <w:jc w:val="center"/>
        <w:rPr>
          <w:b/>
        </w:rPr>
      </w:pPr>
    </w:p>
    <w:p w14:paraId="2B5EF55E" w14:textId="77777777" w:rsidR="002F405A" w:rsidRPr="00A71AF8" w:rsidRDefault="002F405A" w:rsidP="00806A0D">
      <w:pPr>
        <w:ind w:left="0"/>
        <w:jc w:val="center"/>
        <w:rPr>
          <w:b/>
        </w:rPr>
      </w:pPr>
      <w:r w:rsidRPr="00A71AF8">
        <w:rPr>
          <w:b/>
        </w:rPr>
        <w:t>Financial Statements</w:t>
      </w:r>
    </w:p>
    <w:p w14:paraId="74F7D3EA" w14:textId="77777777" w:rsidR="002F405A" w:rsidRPr="00A71AF8" w:rsidRDefault="002F405A" w:rsidP="00806A0D">
      <w:pPr>
        <w:ind w:left="0"/>
        <w:jc w:val="center"/>
        <w:rPr>
          <w:b/>
        </w:rPr>
      </w:pPr>
    </w:p>
    <w:p w14:paraId="62899DC2" w14:textId="5E7EB95A" w:rsidR="002F405A" w:rsidRDefault="002F405A" w:rsidP="00806A0D">
      <w:pPr>
        <w:ind w:left="0"/>
        <w:jc w:val="center"/>
        <w:rPr>
          <w:b/>
        </w:rPr>
      </w:pPr>
      <w:r w:rsidRPr="00A71AF8">
        <w:rPr>
          <w:b/>
        </w:rPr>
        <w:t>2020</w:t>
      </w:r>
      <w:r w:rsidR="00256817">
        <w:rPr>
          <w:b/>
        </w:rPr>
        <w:t>/21</w:t>
      </w:r>
    </w:p>
    <w:p w14:paraId="3E999C18" w14:textId="26061BDD" w:rsidR="00B41FAC" w:rsidRDefault="00B41FAC" w:rsidP="00806A0D">
      <w:pPr>
        <w:ind w:left="0"/>
        <w:jc w:val="center"/>
        <w:rPr>
          <w:b/>
        </w:rPr>
      </w:pPr>
    </w:p>
    <w:p w14:paraId="54760F17" w14:textId="77777777" w:rsidR="002F405A" w:rsidRDefault="002F405A" w:rsidP="00806A0D">
      <w:r>
        <w:br w:type="page"/>
      </w:r>
    </w:p>
    <w:p w14:paraId="502DC99C" w14:textId="77777777" w:rsidR="002F405A" w:rsidRDefault="002F405A" w:rsidP="00806A0D"/>
    <w:p w14:paraId="079C40DD" w14:textId="77777777" w:rsidR="002F405A" w:rsidRDefault="002F405A" w:rsidP="00806A0D"/>
    <w:p w14:paraId="107113F0" w14:textId="77777777" w:rsidR="002F405A" w:rsidRDefault="002F405A" w:rsidP="00806A0D"/>
    <w:p w14:paraId="5D1693C3" w14:textId="77777777" w:rsidR="002F405A" w:rsidRDefault="002F405A" w:rsidP="00806A0D"/>
    <w:p w14:paraId="462F74CF" w14:textId="77777777" w:rsidR="002F405A" w:rsidRDefault="002F405A" w:rsidP="00806A0D"/>
    <w:p w14:paraId="25A1024A" w14:textId="77777777" w:rsidR="002F405A" w:rsidRDefault="002F405A" w:rsidP="00806A0D"/>
    <w:p w14:paraId="2CE1A999" w14:textId="77777777" w:rsidR="002F405A" w:rsidRDefault="002F405A" w:rsidP="00806A0D"/>
    <w:p w14:paraId="68342ED1" w14:textId="77777777" w:rsidR="002F405A" w:rsidRDefault="002F405A" w:rsidP="00806A0D"/>
    <w:p w14:paraId="34F4F8C5" w14:textId="77777777" w:rsidR="002F405A" w:rsidRDefault="002F405A" w:rsidP="00806A0D"/>
    <w:p w14:paraId="34F8662C" w14:textId="77777777" w:rsidR="002F405A" w:rsidRDefault="002F405A" w:rsidP="00806A0D"/>
    <w:p w14:paraId="38748033" w14:textId="77777777" w:rsidR="002F405A" w:rsidRDefault="002F405A" w:rsidP="00806A0D"/>
    <w:p w14:paraId="6866F2AD" w14:textId="77777777" w:rsidR="002F405A" w:rsidRDefault="002F405A" w:rsidP="00806A0D"/>
    <w:p w14:paraId="5078C1FF" w14:textId="77777777" w:rsidR="002F405A" w:rsidRDefault="002F405A" w:rsidP="00806A0D"/>
    <w:p w14:paraId="43B723BC" w14:textId="77777777" w:rsidR="002F405A" w:rsidRPr="002F405A" w:rsidRDefault="002F405A" w:rsidP="00806A0D">
      <w:pPr>
        <w:ind w:left="0"/>
        <w:jc w:val="center"/>
      </w:pPr>
      <w:r w:rsidRPr="002F405A">
        <w:t xml:space="preserve">Page left intentionally </w:t>
      </w:r>
      <w:proofErr w:type="gramStart"/>
      <w:r w:rsidRPr="002F405A">
        <w:t>blank</w:t>
      </w:r>
      <w:proofErr w:type="gramEnd"/>
    </w:p>
    <w:p w14:paraId="63E2C3CD" w14:textId="77777777" w:rsidR="002F405A" w:rsidRDefault="002F405A" w:rsidP="00806A0D">
      <w:r>
        <w:br w:type="page"/>
      </w:r>
    </w:p>
    <w:p w14:paraId="0D7E8DE1" w14:textId="5B2FE783" w:rsidR="002F405A" w:rsidRDefault="00FA37BF" w:rsidP="00806A0D">
      <w:pPr>
        <w:pStyle w:val="Heading1"/>
        <w:ind w:left="0"/>
        <w:jc w:val="center"/>
      </w:pPr>
      <w:bookmarkStart w:id="0" w:name="_Toc42205010"/>
      <w:bookmarkStart w:id="1" w:name="_Toc42271362"/>
      <w:bookmarkStart w:id="2" w:name="_Toc42272128"/>
      <w:bookmarkStart w:id="3" w:name="_Toc72330154"/>
      <w:bookmarkStart w:id="4" w:name="_Toc72334808"/>
      <w:bookmarkStart w:id="5" w:name="_Toc144279251"/>
      <w:r>
        <w:lastRenderedPageBreak/>
        <w:t xml:space="preserve">Chief Constable </w:t>
      </w:r>
      <w:r w:rsidR="00647BA2">
        <w:t>of</w:t>
      </w:r>
      <w:r>
        <w:t xml:space="preserve"> Lincolnshire</w:t>
      </w:r>
      <w:bookmarkEnd w:id="0"/>
      <w:bookmarkEnd w:id="1"/>
      <w:bookmarkEnd w:id="2"/>
      <w:bookmarkEnd w:id="3"/>
      <w:bookmarkEnd w:id="4"/>
      <w:bookmarkEnd w:id="5"/>
    </w:p>
    <w:p w14:paraId="4B15B49F" w14:textId="5DA29936" w:rsidR="00FA37BF" w:rsidRDefault="00BC385F" w:rsidP="00806A0D">
      <w:pPr>
        <w:pStyle w:val="Heading1"/>
        <w:ind w:left="0"/>
        <w:jc w:val="center"/>
      </w:pPr>
      <w:bookmarkStart w:id="6" w:name="_Toc42205011"/>
      <w:bookmarkStart w:id="7" w:name="_Toc42271363"/>
      <w:bookmarkStart w:id="8" w:name="_Toc42272129"/>
      <w:bookmarkStart w:id="9" w:name="_Toc72330155"/>
      <w:bookmarkStart w:id="10" w:name="_Toc72334809"/>
      <w:bookmarkStart w:id="11" w:name="_Toc144279252"/>
      <w:r>
        <w:t>Statements of Accounts 2020</w:t>
      </w:r>
      <w:bookmarkEnd w:id="6"/>
      <w:bookmarkEnd w:id="7"/>
      <w:bookmarkEnd w:id="8"/>
      <w:bookmarkEnd w:id="9"/>
      <w:r w:rsidR="00EB26CF">
        <w:t>/21</w:t>
      </w:r>
      <w:bookmarkEnd w:id="10"/>
      <w:bookmarkEnd w:id="11"/>
    </w:p>
    <w:p w14:paraId="1ABF2755" w14:textId="77777777" w:rsidR="00C67DB9" w:rsidRDefault="00BC385F" w:rsidP="00C67DB9">
      <w:pPr>
        <w:pStyle w:val="Heading1"/>
        <w:ind w:left="0"/>
        <w:jc w:val="center"/>
      </w:pPr>
      <w:bookmarkStart w:id="12" w:name="_Toc42205012"/>
      <w:bookmarkStart w:id="13" w:name="_Toc42271364"/>
      <w:bookmarkStart w:id="14" w:name="_Toc42272130"/>
      <w:bookmarkStart w:id="15" w:name="_Toc72330156"/>
      <w:bookmarkStart w:id="16" w:name="_Toc72334810"/>
      <w:bookmarkStart w:id="17" w:name="_Toc144279253"/>
      <w:r>
        <w:t>Contents</w:t>
      </w:r>
      <w:bookmarkEnd w:id="12"/>
      <w:bookmarkEnd w:id="13"/>
      <w:bookmarkEnd w:id="14"/>
      <w:bookmarkEnd w:id="15"/>
      <w:bookmarkEnd w:id="16"/>
      <w:bookmarkEnd w:id="17"/>
    </w:p>
    <w:p w14:paraId="13F601F0" w14:textId="099DDFE9" w:rsidR="00887F17" w:rsidRPr="00754431" w:rsidRDefault="00F4486D" w:rsidP="00516B3C">
      <w:pPr>
        <w:pStyle w:val="TOC1"/>
        <w:rPr>
          <w:rFonts w:eastAsiaTheme="minorEastAsia"/>
          <w:snapToGrid/>
          <w:color w:val="auto"/>
        </w:rPr>
      </w:pPr>
      <w:r w:rsidRPr="007632B8">
        <w:fldChar w:fldCharType="begin"/>
      </w:r>
      <w:r w:rsidRPr="0054413D">
        <w:instrText xml:space="preserve"> TOC \o "1-2" \u </w:instrText>
      </w:r>
      <w:r w:rsidRPr="007632B8">
        <w:fldChar w:fldCharType="separate"/>
      </w:r>
    </w:p>
    <w:p w14:paraId="5FB50A6F" w14:textId="33F150A0" w:rsidR="00887F17" w:rsidRPr="00754431" w:rsidRDefault="00887F17" w:rsidP="00516B3C">
      <w:pPr>
        <w:pStyle w:val="TOC1"/>
        <w:rPr>
          <w:rFonts w:eastAsiaTheme="minorEastAsia" w:cs="Arial"/>
          <w:snapToGrid/>
          <w:color w:val="auto"/>
        </w:rPr>
      </w:pPr>
      <w:r w:rsidRPr="00754431">
        <w:rPr>
          <w:rFonts w:cs="Arial"/>
          <w:sz w:val="20"/>
          <w:szCs w:val="20"/>
        </w:rPr>
        <w:t>Introduction</w:t>
      </w:r>
      <w:r w:rsidRPr="001F6FE1">
        <w:rPr>
          <w:rFonts w:cs="Arial"/>
        </w:rPr>
        <w:t xml:space="preserve"> to the Financial Statements</w:t>
      </w:r>
      <w:r w:rsidRPr="001F6FE1">
        <w:rPr>
          <w:rFonts w:cs="Arial"/>
        </w:rPr>
        <w:tab/>
      </w:r>
      <w:r w:rsidRPr="001F6FE1">
        <w:rPr>
          <w:rFonts w:cs="Arial"/>
        </w:rPr>
        <w:fldChar w:fldCharType="begin"/>
      </w:r>
      <w:r w:rsidRPr="001F6FE1">
        <w:rPr>
          <w:rFonts w:cs="Arial"/>
        </w:rPr>
        <w:instrText xml:space="preserve"> PAGEREF _Toc144279254 \h </w:instrText>
      </w:r>
      <w:r w:rsidRPr="001F6FE1">
        <w:rPr>
          <w:rFonts w:cs="Arial"/>
        </w:rPr>
      </w:r>
      <w:r w:rsidRPr="001F6FE1">
        <w:rPr>
          <w:rFonts w:cs="Arial"/>
        </w:rPr>
        <w:fldChar w:fldCharType="separate"/>
      </w:r>
      <w:r w:rsidR="00631D7E">
        <w:rPr>
          <w:rFonts w:cs="Arial"/>
        </w:rPr>
        <w:t>5</w:t>
      </w:r>
      <w:r w:rsidRPr="001F6FE1">
        <w:rPr>
          <w:rFonts w:cs="Arial"/>
        </w:rPr>
        <w:fldChar w:fldCharType="end"/>
      </w:r>
    </w:p>
    <w:p w14:paraId="3F5E31A5" w14:textId="10917F37" w:rsidR="00887F17" w:rsidRPr="00754431" w:rsidRDefault="00887F17" w:rsidP="00516B3C">
      <w:pPr>
        <w:pStyle w:val="TOC1"/>
        <w:rPr>
          <w:rFonts w:eastAsiaTheme="minorEastAsia" w:cs="Arial"/>
          <w:snapToGrid/>
          <w:color w:val="auto"/>
        </w:rPr>
      </w:pPr>
      <w:r w:rsidRPr="001F6FE1">
        <w:rPr>
          <w:rFonts w:cs="Arial"/>
        </w:rPr>
        <w:t xml:space="preserve">Annual Governance Statement </w:t>
      </w:r>
      <w:r w:rsidRPr="001F6FE1">
        <w:rPr>
          <w:rFonts w:cs="Arial"/>
        </w:rPr>
        <w:tab/>
      </w:r>
      <w:r w:rsidRPr="001F6FE1">
        <w:rPr>
          <w:rFonts w:cs="Arial"/>
        </w:rPr>
        <w:fldChar w:fldCharType="begin"/>
      </w:r>
      <w:r w:rsidRPr="001F6FE1">
        <w:rPr>
          <w:rFonts w:cs="Arial"/>
        </w:rPr>
        <w:instrText xml:space="preserve"> PAGEREF _Toc144279255 \h </w:instrText>
      </w:r>
      <w:r w:rsidRPr="001F6FE1">
        <w:rPr>
          <w:rFonts w:cs="Arial"/>
        </w:rPr>
      </w:r>
      <w:r w:rsidRPr="001F6FE1">
        <w:rPr>
          <w:rFonts w:cs="Arial"/>
        </w:rPr>
        <w:fldChar w:fldCharType="separate"/>
      </w:r>
      <w:r w:rsidR="00631D7E">
        <w:rPr>
          <w:rFonts w:cs="Arial"/>
        </w:rPr>
        <w:t>9</w:t>
      </w:r>
      <w:r w:rsidRPr="001F6FE1">
        <w:rPr>
          <w:rFonts w:cs="Arial"/>
        </w:rPr>
        <w:fldChar w:fldCharType="end"/>
      </w:r>
    </w:p>
    <w:p w14:paraId="1BA3614F" w14:textId="3BAD9C1B" w:rsidR="00887F17" w:rsidRPr="00754431" w:rsidRDefault="00887F17" w:rsidP="00516B3C">
      <w:pPr>
        <w:pStyle w:val="TOC1"/>
        <w:rPr>
          <w:rFonts w:eastAsiaTheme="minorEastAsia" w:cs="Arial"/>
          <w:snapToGrid/>
          <w:color w:val="auto"/>
        </w:rPr>
      </w:pPr>
      <w:r w:rsidRPr="001F6FE1">
        <w:rPr>
          <w:rFonts w:cs="Arial"/>
        </w:rPr>
        <w:t>Chief Finance Officer’s Narrative Report</w:t>
      </w:r>
      <w:r w:rsidRPr="001F6FE1">
        <w:rPr>
          <w:rFonts w:cs="Arial"/>
        </w:rPr>
        <w:tab/>
      </w:r>
      <w:r w:rsidRPr="001F6FE1">
        <w:rPr>
          <w:rFonts w:cs="Arial"/>
        </w:rPr>
        <w:fldChar w:fldCharType="begin"/>
      </w:r>
      <w:r w:rsidRPr="001F6FE1">
        <w:rPr>
          <w:rFonts w:cs="Arial"/>
        </w:rPr>
        <w:instrText xml:space="preserve"> PAGEREF _Toc144279256 \h </w:instrText>
      </w:r>
      <w:r w:rsidRPr="001F6FE1">
        <w:rPr>
          <w:rFonts w:cs="Arial"/>
        </w:rPr>
      </w:r>
      <w:r w:rsidRPr="001F6FE1">
        <w:rPr>
          <w:rFonts w:cs="Arial"/>
        </w:rPr>
        <w:fldChar w:fldCharType="separate"/>
      </w:r>
      <w:r w:rsidR="00631D7E">
        <w:rPr>
          <w:rFonts w:cs="Arial"/>
        </w:rPr>
        <w:t>26</w:t>
      </w:r>
      <w:r w:rsidRPr="001F6FE1">
        <w:rPr>
          <w:rFonts w:cs="Arial"/>
        </w:rPr>
        <w:fldChar w:fldCharType="end"/>
      </w:r>
    </w:p>
    <w:p w14:paraId="65D8C96C" w14:textId="5F4F0D21" w:rsidR="00887F17" w:rsidRPr="00754431" w:rsidRDefault="00887F17" w:rsidP="00516B3C">
      <w:pPr>
        <w:pStyle w:val="TOC1"/>
        <w:rPr>
          <w:rFonts w:eastAsiaTheme="minorEastAsia" w:cs="Arial"/>
          <w:snapToGrid/>
          <w:color w:val="auto"/>
        </w:rPr>
      </w:pPr>
      <w:r w:rsidRPr="001F6FE1">
        <w:rPr>
          <w:rFonts w:cs="Arial"/>
        </w:rPr>
        <w:t>Statement of Responsibilities for the Statements of Accounts</w:t>
      </w:r>
      <w:r w:rsidRPr="001F6FE1">
        <w:rPr>
          <w:rFonts w:cs="Arial"/>
        </w:rPr>
        <w:tab/>
      </w:r>
      <w:r w:rsidRPr="001F6FE1">
        <w:rPr>
          <w:rFonts w:cs="Arial"/>
        </w:rPr>
        <w:fldChar w:fldCharType="begin"/>
      </w:r>
      <w:r w:rsidRPr="001F6FE1">
        <w:rPr>
          <w:rFonts w:cs="Arial"/>
        </w:rPr>
        <w:instrText xml:space="preserve"> PAGEREF _Toc144279257 \h </w:instrText>
      </w:r>
      <w:r w:rsidRPr="001F6FE1">
        <w:rPr>
          <w:rFonts w:cs="Arial"/>
        </w:rPr>
      </w:r>
      <w:r w:rsidRPr="001F6FE1">
        <w:rPr>
          <w:rFonts w:cs="Arial"/>
        </w:rPr>
        <w:fldChar w:fldCharType="separate"/>
      </w:r>
      <w:r w:rsidR="00631D7E">
        <w:rPr>
          <w:rFonts w:cs="Arial"/>
        </w:rPr>
        <w:t>37</w:t>
      </w:r>
      <w:r w:rsidRPr="001F6FE1">
        <w:rPr>
          <w:rFonts w:cs="Arial"/>
        </w:rPr>
        <w:fldChar w:fldCharType="end"/>
      </w:r>
    </w:p>
    <w:p w14:paraId="48B41724" w14:textId="27EA8F6F" w:rsidR="00887F17" w:rsidRPr="00754431" w:rsidRDefault="00887F17" w:rsidP="00516B3C">
      <w:pPr>
        <w:pStyle w:val="TOC1"/>
        <w:rPr>
          <w:rFonts w:eastAsiaTheme="minorEastAsia" w:cs="Arial"/>
          <w:snapToGrid/>
          <w:color w:val="auto"/>
        </w:rPr>
      </w:pPr>
      <w:r w:rsidRPr="001F6FE1">
        <w:rPr>
          <w:rFonts w:cs="Arial"/>
        </w:rPr>
        <w:t xml:space="preserve">Independent Auditor’s Report </w:t>
      </w:r>
      <w:r w:rsidRPr="001F6FE1">
        <w:rPr>
          <w:rFonts w:cs="Arial"/>
        </w:rPr>
        <w:tab/>
      </w:r>
      <w:r w:rsidR="004178F8">
        <w:rPr>
          <w:rFonts w:cs="Arial"/>
        </w:rPr>
        <w:t>38</w:t>
      </w:r>
    </w:p>
    <w:p w14:paraId="3FE890ED" w14:textId="7A60FFD2" w:rsidR="00887F17" w:rsidRPr="00754431" w:rsidRDefault="00887F17" w:rsidP="00516B3C">
      <w:pPr>
        <w:pStyle w:val="TOC1"/>
        <w:rPr>
          <w:rFonts w:eastAsiaTheme="minorEastAsia" w:cs="Arial"/>
          <w:snapToGrid/>
          <w:color w:val="auto"/>
        </w:rPr>
      </w:pPr>
      <w:r w:rsidRPr="001F6FE1">
        <w:rPr>
          <w:rFonts w:cs="Arial"/>
        </w:rPr>
        <w:t>Expenditure and Funding Analysis</w:t>
      </w:r>
      <w:r w:rsidRPr="001F6FE1">
        <w:rPr>
          <w:rFonts w:cs="Arial"/>
        </w:rPr>
        <w:tab/>
      </w:r>
      <w:r w:rsidRPr="001F6FE1">
        <w:rPr>
          <w:rFonts w:cs="Arial"/>
        </w:rPr>
        <w:fldChar w:fldCharType="begin"/>
      </w:r>
      <w:r w:rsidRPr="001F6FE1">
        <w:rPr>
          <w:rFonts w:cs="Arial"/>
        </w:rPr>
        <w:instrText xml:space="preserve"> PAGEREF _Toc144279259 \h </w:instrText>
      </w:r>
      <w:r w:rsidRPr="001F6FE1">
        <w:rPr>
          <w:rFonts w:cs="Arial"/>
        </w:rPr>
      </w:r>
      <w:r w:rsidRPr="001F6FE1">
        <w:rPr>
          <w:rFonts w:cs="Arial"/>
        </w:rPr>
        <w:fldChar w:fldCharType="separate"/>
      </w:r>
      <w:r w:rsidR="00631D7E">
        <w:rPr>
          <w:rFonts w:cs="Arial"/>
        </w:rPr>
        <w:t>42</w:t>
      </w:r>
      <w:r w:rsidRPr="001F6FE1">
        <w:rPr>
          <w:rFonts w:cs="Arial"/>
        </w:rPr>
        <w:fldChar w:fldCharType="end"/>
      </w:r>
    </w:p>
    <w:p w14:paraId="580CAD90" w14:textId="07548498" w:rsidR="00887F17" w:rsidRPr="00754431" w:rsidRDefault="00887F17" w:rsidP="00516B3C">
      <w:pPr>
        <w:pStyle w:val="TOC1"/>
        <w:rPr>
          <w:rFonts w:eastAsiaTheme="minorEastAsia" w:cs="Arial"/>
          <w:snapToGrid/>
          <w:color w:val="auto"/>
        </w:rPr>
      </w:pPr>
      <w:r w:rsidRPr="001F6FE1">
        <w:rPr>
          <w:rFonts w:cs="Arial"/>
        </w:rPr>
        <w:t xml:space="preserve">Comprehensive Income and Expenditure Statement </w:t>
      </w:r>
      <w:r w:rsidRPr="001F6FE1">
        <w:rPr>
          <w:rFonts w:cs="Arial"/>
        </w:rPr>
        <w:tab/>
      </w:r>
      <w:r w:rsidRPr="001F6FE1">
        <w:rPr>
          <w:rFonts w:cs="Arial"/>
        </w:rPr>
        <w:fldChar w:fldCharType="begin"/>
      </w:r>
      <w:r w:rsidRPr="001F6FE1">
        <w:rPr>
          <w:rFonts w:cs="Arial"/>
        </w:rPr>
        <w:instrText xml:space="preserve"> PAGEREF _Toc144279260 \h </w:instrText>
      </w:r>
      <w:r w:rsidRPr="001F6FE1">
        <w:rPr>
          <w:rFonts w:cs="Arial"/>
        </w:rPr>
      </w:r>
      <w:r w:rsidRPr="001F6FE1">
        <w:rPr>
          <w:rFonts w:cs="Arial"/>
        </w:rPr>
        <w:fldChar w:fldCharType="separate"/>
      </w:r>
      <w:r w:rsidR="00631D7E">
        <w:rPr>
          <w:rFonts w:cs="Arial"/>
        </w:rPr>
        <w:t>43</w:t>
      </w:r>
      <w:r w:rsidRPr="001F6FE1">
        <w:rPr>
          <w:rFonts w:cs="Arial"/>
        </w:rPr>
        <w:fldChar w:fldCharType="end"/>
      </w:r>
    </w:p>
    <w:p w14:paraId="796B4281" w14:textId="5D557B94" w:rsidR="00887F17" w:rsidRPr="00754431" w:rsidRDefault="00887F17" w:rsidP="00516B3C">
      <w:pPr>
        <w:pStyle w:val="TOC1"/>
        <w:rPr>
          <w:rFonts w:eastAsiaTheme="minorEastAsia" w:cs="Arial"/>
          <w:snapToGrid/>
          <w:color w:val="auto"/>
        </w:rPr>
      </w:pPr>
      <w:r w:rsidRPr="001F6FE1">
        <w:rPr>
          <w:rFonts w:cs="Arial"/>
        </w:rPr>
        <w:t xml:space="preserve">Movement in Reserves Statement </w:t>
      </w:r>
      <w:r w:rsidR="00647BA2" w:rsidRPr="001F6FE1">
        <w:rPr>
          <w:rFonts w:cs="Arial"/>
        </w:rPr>
        <w:t>………………………………………………………………...</w:t>
      </w:r>
      <w:r w:rsidRPr="001F6FE1">
        <w:rPr>
          <w:rFonts w:cs="Arial"/>
        </w:rPr>
        <w:fldChar w:fldCharType="begin"/>
      </w:r>
      <w:r w:rsidRPr="001F6FE1">
        <w:rPr>
          <w:rFonts w:cs="Arial"/>
        </w:rPr>
        <w:instrText xml:space="preserve"> PAGEREF _Toc144279261 \h </w:instrText>
      </w:r>
      <w:r w:rsidRPr="001F6FE1">
        <w:rPr>
          <w:rFonts w:cs="Arial"/>
        </w:rPr>
      </w:r>
      <w:r w:rsidRPr="001F6FE1">
        <w:rPr>
          <w:rFonts w:cs="Arial"/>
        </w:rPr>
        <w:fldChar w:fldCharType="separate"/>
      </w:r>
      <w:r w:rsidR="00631D7E">
        <w:rPr>
          <w:rFonts w:cs="Arial"/>
        </w:rPr>
        <w:t>44</w:t>
      </w:r>
      <w:r w:rsidRPr="001F6FE1">
        <w:rPr>
          <w:rFonts w:cs="Arial"/>
        </w:rPr>
        <w:fldChar w:fldCharType="end"/>
      </w:r>
    </w:p>
    <w:p w14:paraId="22E33CDC" w14:textId="52D9E9B9" w:rsidR="00887F17" w:rsidRPr="00754431" w:rsidRDefault="00887F17" w:rsidP="00516B3C">
      <w:pPr>
        <w:pStyle w:val="TOC1"/>
        <w:rPr>
          <w:rFonts w:eastAsiaTheme="minorEastAsia" w:cs="Arial"/>
          <w:snapToGrid/>
          <w:color w:val="auto"/>
        </w:rPr>
      </w:pPr>
      <w:r w:rsidRPr="001F6FE1">
        <w:rPr>
          <w:rFonts w:cs="Arial"/>
        </w:rPr>
        <w:t>Balance Sheet</w:t>
      </w:r>
      <w:r w:rsidRPr="001F6FE1">
        <w:rPr>
          <w:rFonts w:cs="Arial"/>
        </w:rPr>
        <w:tab/>
      </w:r>
      <w:r w:rsidRPr="001F6FE1">
        <w:rPr>
          <w:rFonts w:cs="Arial"/>
        </w:rPr>
        <w:fldChar w:fldCharType="begin"/>
      </w:r>
      <w:r w:rsidRPr="001F6FE1">
        <w:rPr>
          <w:rFonts w:cs="Arial"/>
        </w:rPr>
        <w:instrText xml:space="preserve"> PAGEREF _Toc144279262 \h </w:instrText>
      </w:r>
      <w:r w:rsidRPr="001F6FE1">
        <w:rPr>
          <w:rFonts w:cs="Arial"/>
        </w:rPr>
      </w:r>
      <w:r w:rsidRPr="001F6FE1">
        <w:rPr>
          <w:rFonts w:cs="Arial"/>
        </w:rPr>
        <w:fldChar w:fldCharType="separate"/>
      </w:r>
      <w:r w:rsidR="00631D7E">
        <w:rPr>
          <w:rFonts w:cs="Arial"/>
        </w:rPr>
        <w:t>45</w:t>
      </w:r>
      <w:r w:rsidRPr="001F6FE1">
        <w:rPr>
          <w:rFonts w:cs="Arial"/>
        </w:rPr>
        <w:fldChar w:fldCharType="end"/>
      </w:r>
    </w:p>
    <w:p w14:paraId="02A29047" w14:textId="426D8508" w:rsidR="00887F17" w:rsidRPr="00754431" w:rsidRDefault="00887F17" w:rsidP="00516B3C">
      <w:pPr>
        <w:pStyle w:val="TOC1"/>
        <w:rPr>
          <w:rFonts w:eastAsiaTheme="minorEastAsia" w:cs="Arial"/>
          <w:snapToGrid/>
          <w:color w:val="auto"/>
        </w:rPr>
      </w:pPr>
      <w:r w:rsidRPr="001F6FE1">
        <w:rPr>
          <w:rFonts w:cs="Arial"/>
        </w:rPr>
        <w:t>Cash Flow Statement</w:t>
      </w:r>
      <w:r w:rsidRPr="001F6FE1">
        <w:rPr>
          <w:rFonts w:cs="Arial"/>
        </w:rPr>
        <w:tab/>
      </w:r>
      <w:r w:rsidRPr="001F6FE1">
        <w:rPr>
          <w:rFonts w:cs="Arial"/>
        </w:rPr>
        <w:fldChar w:fldCharType="begin"/>
      </w:r>
      <w:r w:rsidRPr="001F6FE1">
        <w:rPr>
          <w:rFonts w:cs="Arial"/>
        </w:rPr>
        <w:instrText xml:space="preserve"> PAGEREF _Toc144279263 \h </w:instrText>
      </w:r>
      <w:r w:rsidRPr="001F6FE1">
        <w:rPr>
          <w:rFonts w:cs="Arial"/>
        </w:rPr>
      </w:r>
      <w:r w:rsidRPr="001F6FE1">
        <w:rPr>
          <w:rFonts w:cs="Arial"/>
        </w:rPr>
        <w:fldChar w:fldCharType="separate"/>
      </w:r>
      <w:r w:rsidR="00631D7E">
        <w:rPr>
          <w:rFonts w:cs="Arial"/>
        </w:rPr>
        <w:t>46</w:t>
      </w:r>
      <w:r w:rsidRPr="001F6FE1">
        <w:rPr>
          <w:rFonts w:cs="Arial"/>
        </w:rPr>
        <w:fldChar w:fldCharType="end"/>
      </w:r>
    </w:p>
    <w:p w14:paraId="6FF5EDA9" w14:textId="45CF5C50" w:rsidR="00887F17" w:rsidRPr="00754431" w:rsidRDefault="00887F17" w:rsidP="00516B3C">
      <w:pPr>
        <w:pStyle w:val="TOC1"/>
        <w:rPr>
          <w:rFonts w:eastAsiaTheme="minorEastAsia" w:cs="Arial"/>
          <w:snapToGrid/>
          <w:color w:val="auto"/>
        </w:rPr>
      </w:pPr>
      <w:r w:rsidRPr="001F6FE1">
        <w:rPr>
          <w:rFonts w:cs="Arial"/>
        </w:rPr>
        <w:t>Notes to the Accounts</w:t>
      </w:r>
      <w:r w:rsidRPr="001F6FE1">
        <w:rPr>
          <w:rFonts w:cs="Arial"/>
        </w:rPr>
        <w:tab/>
      </w:r>
      <w:r w:rsidRPr="001F6FE1">
        <w:rPr>
          <w:rFonts w:cs="Arial"/>
        </w:rPr>
        <w:fldChar w:fldCharType="begin"/>
      </w:r>
      <w:r w:rsidRPr="001F6FE1">
        <w:rPr>
          <w:rFonts w:cs="Arial"/>
        </w:rPr>
        <w:instrText xml:space="preserve"> PAGEREF _Toc144279265 \h </w:instrText>
      </w:r>
      <w:r w:rsidRPr="001F6FE1">
        <w:rPr>
          <w:rFonts w:cs="Arial"/>
        </w:rPr>
      </w:r>
      <w:r w:rsidRPr="001F6FE1">
        <w:rPr>
          <w:rFonts w:cs="Arial"/>
        </w:rPr>
        <w:fldChar w:fldCharType="separate"/>
      </w:r>
      <w:r w:rsidR="00631D7E">
        <w:rPr>
          <w:rFonts w:cs="Arial"/>
        </w:rPr>
        <w:t>47</w:t>
      </w:r>
      <w:r w:rsidRPr="001F6FE1">
        <w:rPr>
          <w:rFonts w:cs="Arial"/>
        </w:rPr>
        <w:fldChar w:fldCharType="end"/>
      </w:r>
    </w:p>
    <w:p w14:paraId="48AB5AEA" w14:textId="2F5256F8" w:rsidR="00887F17" w:rsidRPr="00754431" w:rsidRDefault="00887F17" w:rsidP="007632B8">
      <w:pPr>
        <w:pStyle w:val="TOC2"/>
        <w:rPr>
          <w:rFonts w:eastAsiaTheme="minorEastAsia" w:cs="Arial"/>
          <w:color w:val="auto"/>
          <w:lang w:eastAsia="en-GB"/>
        </w:rPr>
      </w:pPr>
      <w:r w:rsidRPr="001F6FE1">
        <w:rPr>
          <w:rFonts w:eastAsia="MS Mincho" w:cs="Arial"/>
        </w:rPr>
        <w:t>1.</w:t>
      </w:r>
      <w:r w:rsidRPr="00754431">
        <w:rPr>
          <w:rFonts w:eastAsiaTheme="minorEastAsia" w:cs="Arial"/>
          <w:color w:val="auto"/>
          <w:lang w:eastAsia="en-GB"/>
        </w:rPr>
        <w:tab/>
      </w:r>
      <w:r w:rsidRPr="001F6FE1">
        <w:rPr>
          <w:rFonts w:eastAsia="MS Mincho" w:cs="Arial"/>
        </w:rPr>
        <w:t>Accounting Policies</w:t>
      </w:r>
      <w:r w:rsidRPr="001F6FE1">
        <w:rPr>
          <w:rFonts w:cs="Arial"/>
        </w:rPr>
        <w:tab/>
      </w:r>
      <w:r w:rsidRPr="001F6FE1">
        <w:rPr>
          <w:rFonts w:cs="Arial"/>
        </w:rPr>
        <w:fldChar w:fldCharType="begin"/>
      </w:r>
      <w:r w:rsidRPr="001F6FE1">
        <w:rPr>
          <w:rFonts w:cs="Arial"/>
        </w:rPr>
        <w:instrText xml:space="preserve"> PAGEREF _Toc144279266 \h </w:instrText>
      </w:r>
      <w:r w:rsidRPr="001F6FE1">
        <w:rPr>
          <w:rFonts w:cs="Arial"/>
        </w:rPr>
      </w:r>
      <w:r w:rsidRPr="001F6FE1">
        <w:rPr>
          <w:rFonts w:cs="Arial"/>
        </w:rPr>
        <w:fldChar w:fldCharType="separate"/>
      </w:r>
      <w:r w:rsidR="00631D7E">
        <w:rPr>
          <w:rFonts w:cs="Arial"/>
        </w:rPr>
        <w:t>47</w:t>
      </w:r>
      <w:r w:rsidRPr="001F6FE1">
        <w:rPr>
          <w:rFonts w:cs="Arial"/>
        </w:rPr>
        <w:fldChar w:fldCharType="end"/>
      </w:r>
    </w:p>
    <w:p w14:paraId="443ED39D" w14:textId="012E1F50" w:rsidR="00887F17" w:rsidRPr="00754431" w:rsidRDefault="00887F17" w:rsidP="007632B8">
      <w:pPr>
        <w:pStyle w:val="TOC2"/>
        <w:rPr>
          <w:rFonts w:eastAsiaTheme="minorEastAsia" w:cs="Arial"/>
          <w:color w:val="auto"/>
          <w:lang w:eastAsia="en-GB"/>
        </w:rPr>
      </w:pPr>
      <w:r w:rsidRPr="001F6FE1">
        <w:rPr>
          <w:rFonts w:cs="Arial"/>
          <w:lang w:eastAsia="en-GB"/>
        </w:rPr>
        <w:t>2.</w:t>
      </w:r>
      <w:r w:rsidRPr="00754431">
        <w:rPr>
          <w:rFonts w:eastAsiaTheme="minorEastAsia" w:cs="Arial"/>
          <w:color w:val="auto"/>
          <w:lang w:eastAsia="en-GB"/>
        </w:rPr>
        <w:tab/>
      </w:r>
      <w:r w:rsidRPr="001F6FE1">
        <w:rPr>
          <w:rFonts w:cs="Arial"/>
          <w:lang w:eastAsia="en-GB"/>
        </w:rPr>
        <w:t>Judgements in applying Accounting Policies</w:t>
      </w:r>
      <w:r w:rsidRPr="001F6FE1">
        <w:rPr>
          <w:rFonts w:cs="Arial"/>
        </w:rPr>
        <w:tab/>
      </w:r>
      <w:r w:rsidRPr="001F6FE1">
        <w:rPr>
          <w:rFonts w:cs="Arial"/>
        </w:rPr>
        <w:fldChar w:fldCharType="begin"/>
      </w:r>
      <w:r w:rsidRPr="001F6FE1">
        <w:rPr>
          <w:rFonts w:cs="Arial"/>
        </w:rPr>
        <w:instrText xml:space="preserve"> PAGEREF _Toc144279292 \h </w:instrText>
      </w:r>
      <w:r w:rsidRPr="001F6FE1">
        <w:rPr>
          <w:rFonts w:cs="Arial"/>
        </w:rPr>
      </w:r>
      <w:r w:rsidRPr="001F6FE1">
        <w:rPr>
          <w:rFonts w:cs="Arial"/>
        </w:rPr>
        <w:fldChar w:fldCharType="separate"/>
      </w:r>
      <w:r w:rsidR="00631D7E">
        <w:rPr>
          <w:rFonts w:cs="Arial"/>
        </w:rPr>
        <w:t>53</w:t>
      </w:r>
      <w:r w:rsidRPr="001F6FE1">
        <w:rPr>
          <w:rFonts w:cs="Arial"/>
        </w:rPr>
        <w:fldChar w:fldCharType="end"/>
      </w:r>
    </w:p>
    <w:p w14:paraId="3948F6DE" w14:textId="3AB42B64" w:rsidR="00887F17" w:rsidRPr="00754431" w:rsidRDefault="00887F17" w:rsidP="007632B8">
      <w:pPr>
        <w:pStyle w:val="TOC2"/>
        <w:rPr>
          <w:rFonts w:eastAsiaTheme="minorEastAsia" w:cs="Arial"/>
          <w:color w:val="auto"/>
          <w:lang w:eastAsia="en-GB"/>
        </w:rPr>
      </w:pPr>
      <w:r w:rsidRPr="001F6FE1">
        <w:rPr>
          <w:rFonts w:cs="Arial"/>
        </w:rPr>
        <w:t>3.</w:t>
      </w:r>
      <w:r w:rsidRPr="00754431">
        <w:rPr>
          <w:rFonts w:eastAsiaTheme="minorEastAsia" w:cs="Arial"/>
          <w:color w:val="auto"/>
          <w:lang w:eastAsia="en-GB"/>
        </w:rPr>
        <w:tab/>
      </w:r>
      <w:r w:rsidRPr="001F6FE1">
        <w:rPr>
          <w:rFonts w:cs="Arial"/>
        </w:rPr>
        <w:t>Assumptions made about the future and other major sources of Estimation Uncertainty</w:t>
      </w:r>
      <w:r w:rsidRPr="001F6FE1">
        <w:rPr>
          <w:rFonts w:cs="Arial"/>
        </w:rPr>
        <w:tab/>
      </w:r>
      <w:r w:rsidRPr="001F6FE1">
        <w:rPr>
          <w:rFonts w:cs="Arial"/>
        </w:rPr>
        <w:fldChar w:fldCharType="begin"/>
      </w:r>
      <w:r w:rsidRPr="001F6FE1">
        <w:rPr>
          <w:rFonts w:cs="Arial"/>
        </w:rPr>
        <w:instrText xml:space="preserve"> PAGEREF _Toc144279293 \h </w:instrText>
      </w:r>
      <w:r w:rsidRPr="001F6FE1">
        <w:rPr>
          <w:rFonts w:cs="Arial"/>
        </w:rPr>
      </w:r>
      <w:r w:rsidRPr="001F6FE1">
        <w:rPr>
          <w:rFonts w:cs="Arial"/>
        </w:rPr>
        <w:fldChar w:fldCharType="separate"/>
      </w:r>
      <w:r w:rsidR="00631D7E">
        <w:rPr>
          <w:rFonts w:cs="Arial"/>
        </w:rPr>
        <w:t>53</w:t>
      </w:r>
      <w:r w:rsidRPr="001F6FE1">
        <w:rPr>
          <w:rFonts w:cs="Arial"/>
        </w:rPr>
        <w:fldChar w:fldCharType="end"/>
      </w:r>
    </w:p>
    <w:p w14:paraId="32AC3692" w14:textId="435D047F" w:rsidR="00887F17" w:rsidRPr="00754431" w:rsidRDefault="00887F17" w:rsidP="007632B8">
      <w:pPr>
        <w:pStyle w:val="TOC2"/>
        <w:rPr>
          <w:rFonts w:eastAsiaTheme="minorEastAsia" w:cs="Arial"/>
          <w:color w:val="auto"/>
          <w:lang w:eastAsia="en-GB"/>
        </w:rPr>
      </w:pPr>
      <w:r w:rsidRPr="001F6FE1">
        <w:rPr>
          <w:rFonts w:cs="Arial"/>
        </w:rPr>
        <w:t>4.</w:t>
      </w:r>
      <w:r w:rsidRPr="00754431">
        <w:rPr>
          <w:rFonts w:eastAsiaTheme="minorEastAsia" w:cs="Arial"/>
          <w:color w:val="auto"/>
          <w:lang w:eastAsia="en-GB"/>
        </w:rPr>
        <w:tab/>
      </w:r>
      <w:r w:rsidRPr="001F6FE1">
        <w:rPr>
          <w:rFonts w:cs="Arial"/>
        </w:rPr>
        <w:t>Going Concern</w:t>
      </w:r>
      <w:r w:rsidRPr="001F6FE1">
        <w:rPr>
          <w:rFonts w:cs="Arial"/>
        </w:rPr>
        <w:tab/>
      </w:r>
      <w:r w:rsidRPr="001F6FE1">
        <w:rPr>
          <w:rFonts w:cs="Arial"/>
        </w:rPr>
        <w:fldChar w:fldCharType="begin"/>
      </w:r>
      <w:r w:rsidRPr="001F6FE1">
        <w:rPr>
          <w:rFonts w:cs="Arial"/>
        </w:rPr>
        <w:instrText xml:space="preserve"> PAGEREF _Toc144279295 \h </w:instrText>
      </w:r>
      <w:r w:rsidRPr="001F6FE1">
        <w:rPr>
          <w:rFonts w:cs="Arial"/>
        </w:rPr>
      </w:r>
      <w:r w:rsidRPr="001F6FE1">
        <w:rPr>
          <w:rFonts w:cs="Arial"/>
        </w:rPr>
        <w:fldChar w:fldCharType="separate"/>
      </w:r>
      <w:r w:rsidR="00631D7E">
        <w:rPr>
          <w:rFonts w:cs="Arial"/>
        </w:rPr>
        <w:t>56</w:t>
      </w:r>
      <w:r w:rsidRPr="001F6FE1">
        <w:rPr>
          <w:rFonts w:cs="Arial"/>
        </w:rPr>
        <w:fldChar w:fldCharType="end"/>
      </w:r>
    </w:p>
    <w:p w14:paraId="13B644F3" w14:textId="3BA51AF4" w:rsidR="00887F17" w:rsidRPr="00754431" w:rsidRDefault="00887F17" w:rsidP="007632B8">
      <w:pPr>
        <w:pStyle w:val="TOC2"/>
        <w:rPr>
          <w:rFonts w:eastAsiaTheme="minorEastAsia" w:cs="Arial"/>
          <w:color w:val="auto"/>
          <w:lang w:eastAsia="en-GB"/>
        </w:rPr>
      </w:pPr>
      <w:r w:rsidRPr="001F6FE1">
        <w:rPr>
          <w:rFonts w:cs="Arial"/>
        </w:rPr>
        <w:t>5.</w:t>
      </w:r>
      <w:r w:rsidRPr="00754431">
        <w:rPr>
          <w:rFonts w:eastAsiaTheme="minorEastAsia" w:cs="Arial"/>
          <w:color w:val="auto"/>
          <w:lang w:eastAsia="en-GB"/>
        </w:rPr>
        <w:tab/>
      </w:r>
      <w:r w:rsidRPr="001F6FE1">
        <w:rPr>
          <w:rFonts w:cs="Arial"/>
        </w:rPr>
        <w:t>Note to the Expenditure and Funding Analysis</w:t>
      </w:r>
      <w:r w:rsidRPr="001F6FE1">
        <w:rPr>
          <w:rFonts w:cs="Arial"/>
        </w:rPr>
        <w:tab/>
      </w:r>
      <w:r w:rsidRPr="001F6FE1">
        <w:rPr>
          <w:rFonts w:cs="Arial"/>
        </w:rPr>
        <w:fldChar w:fldCharType="begin"/>
      </w:r>
      <w:r w:rsidRPr="001F6FE1">
        <w:rPr>
          <w:rFonts w:cs="Arial"/>
        </w:rPr>
        <w:instrText xml:space="preserve"> PAGEREF _Toc144279296 \h </w:instrText>
      </w:r>
      <w:r w:rsidRPr="001F6FE1">
        <w:rPr>
          <w:rFonts w:cs="Arial"/>
        </w:rPr>
      </w:r>
      <w:r w:rsidRPr="001F6FE1">
        <w:rPr>
          <w:rFonts w:cs="Arial"/>
        </w:rPr>
        <w:fldChar w:fldCharType="separate"/>
      </w:r>
      <w:r w:rsidR="00631D7E">
        <w:rPr>
          <w:rFonts w:cs="Arial"/>
        </w:rPr>
        <w:t>57</w:t>
      </w:r>
      <w:r w:rsidRPr="001F6FE1">
        <w:rPr>
          <w:rFonts w:cs="Arial"/>
        </w:rPr>
        <w:fldChar w:fldCharType="end"/>
      </w:r>
    </w:p>
    <w:p w14:paraId="527FE3CF" w14:textId="6DB3EE1B" w:rsidR="00887F17" w:rsidRPr="00754431" w:rsidRDefault="00887F17" w:rsidP="007632B8">
      <w:pPr>
        <w:pStyle w:val="TOC2"/>
        <w:rPr>
          <w:rFonts w:eastAsiaTheme="minorEastAsia" w:cs="Arial"/>
          <w:color w:val="auto"/>
          <w:lang w:eastAsia="en-GB"/>
        </w:rPr>
      </w:pPr>
      <w:r w:rsidRPr="001F6FE1">
        <w:rPr>
          <w:rFonts w:cs="Arial"/>
        </w:rPr>
        <w:t>6.</w:t>
      </w:r>
      <w:r w:rsidRPr="00754431">
        <w:rPr>
          <w:rFonts w:eastAsiaTheme="minorEastAsia" w:cs="Arial"/>
          <w:color w:val="auto"/>
          <w:lang w:eastAsia="en-GB"/>
        </w:rPr>
        <w:tab/>
      </w:r>
      <w:r w:rsidRPr="001F6FE1">
        <w:rPr>
          <w:rFonts w:cs="Arial"/>
        </w:rPr>
        <w:t>Expenditure Analysed by Nature</w:t>
      </w:r>
      <w:r w:rsidRPr="001F6FE1">
        <w:rPr>
          <w:rFonts w:cs="Arial"/>
        </w:rPr>
        <w:tab/>
      </w:r>
      <w:r w:rsidRPr="001F6FE1">
        <w:rPr>
          <w:rFonts w:cs="Arial"/>
        </w:rPr>
        <w:fldChar w:fldCharType="begin"/>
      </w:r>
      <w:r w:rsidRPr="001F6FE1">
        <w:rPr>
          <w:rFonts w:cs="Arial"/>
        </w:rPr>
        <w:instrText xml:space="preserve"> PAGEREF _Toc144279297 \h </w:instrText>
      </w:r>
      <w:r w:rsidRPr="001F6FE1">
        <w:rPr>
          <w:rFonts w:cs="Arial"/>
        </w:rPr>
      </w:r>
      <w:r w:rsidRPr="001F6FE1">
        <w:rPr>
          <w:rFonts w:cs="Arial"/>
        </w:rPr>
        <w:fldChar w:fldCharType="separate"/>
      </w:r>
      <w:r w:rsidR="00631D7E">
        <w:rPr>
          <w:rFonts w:cs="Arial"/>
        </w:rPr>
        <w:t>58</w:t>
      </w:r>
      <w:r w:rsidRPr="001F6FE1">
        <w:rPr>
          <w:rFonts w:cs="Arial"/>
        </w:rPr>
        <w:fldChar w:fldCharType="end"/>
      </w:r>
    </w:p>
    <w:p w14:paraId="0F536B9F" w14:textId="0327DD16" w:rsidR="00887F17" w:rsidRPr="00754431" w:rsidRDefault="00887F17" w:rsidP="007632B8">
      <w:pPr>
        <w:pStyle w:val="TOC2"/>
        <w:rPr>
          <w:rFonts w:eastAsiaTheme="minorEastAsia" w:cs="Arial"/>
          <w:color w:val="auto"/>
          <w:lang w:eastAsia="en-GB"/>
        </w:rPr>
      </w:pPr>
      <w:r w:rsidRPr="001F6FE1">
        <w:rPr>
          <w:rFonts w:cs="Arial"/>
        </w:rPr>
        <w:t>7.</w:t>
      </w:r>
      <w:r w:rsidRPr="00754431">
        <w:rPr>
          <w:rFonts w:eastAsiaTheme="minorEastAsia" w:cs="Arial"/>
          <w:color w:val="auto"/>
          <w:lang w:eastAsia="en-GB"/>
        </w:rPr>
        <w:tab/>
      </w:r>
      <w:r w:rsidRPr="001F6FE1">
        <w:rPr>
          <w:rFonts w:cs="Arial"/>
        </w:rPr>
        <w:t>Adjustments Between Accounting Basis and Funding Basis Under Regulations</w:t>
      </w:r>
      <w:r w:rsidRPr="001F6FE1">
        <w:rPr>
          <w:rFonts w:cs="Arial"/>
        </w:rPr>
        <w:tab/>
      </w:r>
      <w:r w:rsidRPr="001F6FE1">
        <w:rPr>
          <w:rFonts w:cs="Arial"/>
        </w:rPr>
        <w:fldChar w:fldCharType="begin"/>
      </w:r>
      <w:r w:rsidRPr="001F6FE1">
        <w:rPr>
          <w:rFonts w:cs="Arial"/>
        </w:rPr>
        <w:instrText xml:space="preserve"> PAGEREF _Toc144279298 \h </w:instrText>
      </w:r>
      <w:r w:rsidRPr="001F6FE1">
        <w:rPr>
          <w:rFonts w:cs="Arial"/>
        </w:rPr>
      </w:r>
      <w:r w:rsidRPr="001F6FE1">
        <w:rPr>
          <w:rFonts w:cs="Arial"/>
        </w:rPr>
        <w:fldChar w:fldCharType="separate"/>
      </w:r>
      <w:r w:rsidR="00631D7E">
        <w:rPr>
          <w:rFonts w:cs="Arial"/>
        </w:rPr>
        <w:t>59</w:t>
      </w:r>
      <w:r w:rsidRPr="001F6FE1">
        <w:rPr>
          <w:rFonts w:cs="Arial"/>
        </w:rPr>
        <w:fldChar w:fldCharType="end"/>
      </w:r>
    </w:p>
    <w:p w14:paraId="0E546A10" w14:textId="18E5304D" w:rsidR="00887F17" w:rsidRPr="00754431" w:rsidRDefault="00887F17" w:rsidP="007632B8">
      <w:pPr>
        <w:pStyle w:val="TOC2"/>
        <w:rPr>
          <w:rFonts w:eastAsiaTheme="minorEastAsia" w:cs="Arial"/>
          <w:color w:val="auto"/>
          <w:lang w:eastAsia="en-GB"/>
        </w:rPr>
      </w:pPr>
      <w:r w:rsidRPr="001F6FE1">
        <w:rPr>
          <w:rFonts w:cs="Arial"/>
        </w:rPr>
        <w:t>8.</w:t>
      </w:r>
      <w:r w:rsidRPr="00754431">
        <w:rPr>
          <w:rFonts w:eastAsiaTheme="minorEastAsia" w:cs="Arial"/>
          <w:color w:val="auto"/>
          <w:lang w:eastAsia="en-GB"/>
        </w:rPr>
        <w:tab/>
      </w:r>
      <w:r w:rsidRPr="001F6FE1">
        <w:rPr>
          <w:rFonts w:cs="Arial"/>
        </w:rPr>
        <w:t>Other Operating Expenditure</w:t>
      </w:r>
      <w:r w:rsidRPr="001F6FE1">
        <w:rPr>
          <w:rFonts w:cs="Arial"/>
        </w:rPr>
        <w:tab/>
      </w:r>
      <w:r w:rsidRPr="001F6FE1">
        <w:rPr>
          <w:rFonts w:cs="Arial"/>
        </w:rPr>
        <w:fldChar w:fldCharType="begin"/>
      </w:r>
      <w:r w:rsidRPr="001F6FE1">
        <w:rPr>
          <w:rFonts w:cs="Arial"/>
        </w:rPr>
        <w:instrText xml:space="preserve"> PAGEREF _Toc144279299 \h </w:instrText>
      </w:r>
      <w:r w:rsidRPr="001F6FE1">
        <w:rPr>
          <w:rFonts w:cs="Arial"/>
        </w:rPr>
      </w:r>
      <w:r w:rsidRPr="001F6FE1">
        <w:rPr>
          <w:rFonts w:cs="Arial"/>
        </w:rPr>
        <w:fldChar w:fldCharType="separate"/>
      </w:r>
      <w:r w:rsidR="00631D7E">
        <w:rPr>
          <w:rFonts w:cs="Arial"/>
        </w:rPr>
        <w:t>60</w:t>
      </w:r>
      <w:r w:rsidRPr="001F6FE1">
        <w:rPr>
          <w:rFonts w:cs="Arial"/>
        </w:rPr>
        <w:fldChar w:fldCharType="end"/>
      </w:r>
    </w:p>
    <w:p w14:paraId="57759D3C" w14:textId="1C9663DD" w:rsidR="00887F17" w:rsidRPr="00754431" w:rsidRDefault="00887F17" w:rsidP="007632B8">
      <w:pPr>
        <w:pStyle w:val="TOC2"/>
        <w:rPr>
          <w:rFonts w:eastAsiaTheme="minorEastAsia" w:cs="Arial"/>
          <w:color w:val="auto"/>
          <w:lang w:eastAsia="en-GB"/>
        </w:rPr>
      </w:pPr>
      <w:r w:rsidRPr="001F6FE1">
        <w:rPr>
          <w:rFonts w:cs="Arial"/>
        </w:rPr>
        <w:t>9.</w:t>
      </w:r>
      <w:r w:rsidRPr="00754431">
        <w:rPr>
          <w:rFonts w:eastAsiaTheme="minorEastAsia" w:cs="Arial"/>
          <w:color w:val="auto"/>
          <w:lang w:eastAsia="en-GB"/>
        </w:rPr>
        <w:tab/>
      </w:r>
      <w:r w:rsidRPr="001F6FE1">
        <w:rPr>
          <w:rFonts w:cs="Arial"/>
        </w:rPr>
        <w:t>Financing and Investment Income and Expenditure</w:t>
      </w:r>
      <w:r w:rsidRPr="001F6FE1">
        <w:rPr>
          <w:rFonts w:cs="Arial"/>
        </w:rPr>
        <w:tab/>
      </w:r>
      <w:r w:rsidRPr="001F6FE1">
        <w:rPr>
          <w:rFonts w:cs="Arial"/>
        </w:rPr>
        <w:fldChar w:fldCharType="begin"/>
      </w:r>
      <w:r w:rsidRPr="001F6FE1">
        <w:rPr>
          <w:rFonts w:cs="Arial"/>
        </w:rPr>
        <w:instrText xml:space="preserve"> PAGEREF _Toc144279300 \h </w:instrText>
      </w:r>
      <w:r w:rsidRPr="001F6FE1">
        <w:rPr>
          <w:rFonts w:cs="Arial"/>
        </w:rPr>
      </w:r>
      <w:r w:rsidRPr="001F6FE1">
        <w:rPr>
          <w:rFonts w:cs="Arial"/>
        </w:rPr>
        <w:fldChar w:fldCharType="separate"/>
      </w:r>
      <w:r w:rsidR="00631D7E">
        <w:rPr>
          <w:rFonts w:cs="Arial"/>
        </w:rPr>
        <w:t>60</w:t>
      </w:r>
      <w:r w:rsidRPr="001F6FE1">
        <w:rPr>
          <w:rFonts w:cs="Arial"/>
        </w:rPr>
        <w:fldChar w:fldCharType="end"/>
      </w:r>
    </w:p>
    <w:p w14:paraId="561DF431" w14:textId="22D3BAE7" w:rsidR="00887F17" w:rsidRPr="00754431" w:rsidRDefault="00887F17" w:rsidP="007632B8">
      <w:pPr>
        <w:pStyle w:val="TOC2"/>
        <w:rPr>
          <w:rFonts w:eastAsiaTheme="minorEastAsia" w:cs="Arial"/>
          <w:color w:val="auto"/>
          <w:lang w:eastAsia="en-GB"/>
        </w:rPr>
      </w:pPr>
      <w:r w:rsidRPr="001F6FE1">
        <w:rPr>
          <w:rFonts w:cs="Arial"/>
        </w:rPr>
        <w:t>10.</w:t>
      </w:r>
      <w:r w:rsidRPr="00754431">
        <w:rPr>
          <w:rFonts w:eastAsiaTheme="minorEastAsia" w:cs="Arial"/>
          <w:color w:val="auto"/>
          <w:lang w:eastAsia="en-GB"/>
        </w:rPr>
        <w:tab/>
      </w:r>
      <w:r w:rsidRPr="001F6FE1">
        <w:rPr>
          <w:rFonts w:cs="Arial"/>
        </w:rPr>
        <w:t>Grant Income</w:t>
      </w:r>
      <w:r w:rsidRPr="001F6FE1">
        <w:rPr>
          <w:rFonts w:cs="Arial"/>
        </w:rPr>
        <w:tab/>
      </w:r>
      <w:r w:rsidRPr="001F6FE1">
        <w:rPr>
          <w:rFonts w:cs="Arial"/>
        </w:rPr>
        <w:fldChar w:fldCharType="begin"/>
      </w:r>
      <w:r w:rsidRPr="001F6FE1">
        <w:rPr>
          <w:rFonts w:cs="Arial"/>
        </w:rPr>
        <w:instrText xml:space="preserve"> PAGEREF _Toc144279301 \h </w:instrText>
      </w:r>
      <w:r w:rsidRPr="001F6FE1">
        <w:rPr>
          <w:rFonts w:cs="Arial"/>
        </w:rPr>
      </w:r>
      <w:r w:rsidRPr="001F6FE1">
        <w:rPr>
          <w:rFonts w:cs="Arial"/>
        </w:rPr>
        <w:fldChar w:fldCharType="separate"/>
      </w:r>
      <w:r w:rsidR="00631D7E">
        <w:rPr>
          <w:rFonts w:cs="Arial"/>
        </w:rPr>
        <w:t>60</w:t>
      </w:r>
      <w:r w:rsidRPr="001F6FE1">
        <w:rPr>
          <w:rFonts w:cs="Arial"/>
        </w:rPr>
        <w:fldChar w:fldCharType="end"/>
      </w:r>
    </w:p>
    <w:p w14:paraId="562DDD22" w14:textId="74763698" w:rsidR="00887F17" w:rsidRPr="00754431" w:rsidRDefault="00887F17" w:rsidP="007632B8">
      <w:pPr>
        <w:pStyle w:val="TOC2"/>
        <w:rPr>
          <w:rFonts w:eastAsiaTheme="minorEastAsia" w:cs="Arial"/>
          <w:color w:val="auto"/>
          <w:lang w:eastAsia="en-GB"/>
        </w:rPr>
      </w:pPr>
      <w:r w:rsidRPr="001F6FE1">
        <w:rPr>
          <w:rFonts w:cs="Arial"/>
        </w:rPr>
        <w:t>11.</w:t>
      </w:r>
      <w:r w:rsidRPr="00754431">
        <w:rPr>
          <w:rFonts w:eastAsiaTheme="minorEastAsia" w:cs="Arial"/>
          <w:color w:val="auto"/>
          <w:lang w:eastAsia="en-GB"/>
        </w:rPr>
        <w:tab/>
      </w:r>
      <w:r w:rsidRPr="001F6FE1">
        <w:rPr>
          <w:rFonts w:cs="Arial"/>
        </w:rPr>
        <w:t>Intra-Group Financing</w:t>
      </w:r>
      <w:r w:rsidRPr="001F6FE1">
        <w:rPr>
          <w:rFonts w:cs="Arial"/>
        </w:rPr>
        <w:tab/>
      </w:r>
      <w:r w:rsidRPr="001F6FE1">
        <w:rPr>
          <w:rFonts w:cs="Arial"/>
        </w:rPr>
        <w:fldChar w:fldCharType="begin"/>
      </w:r>
      <w:r w:rsidRPr="001F6FE1">
        <w:rPr>
          <w:rFonts w:cs="Arial"/>
        </w:rPr>
        <w:instrText xml:space="preserve"> PAGEREF _Toc144279302 \h </w:instrText>
      </w:r>
      <w:r w:rsidRPr="001F6FE1">
        <w:rPr>
          <w:rFonts w:cs="Arial"/>
        </w:rPr>
      </w:r>
      <w:r w:rsidRPr="001F6FE1">
        <w:rPr>
          <w:rFonts w:cs="Arial"/>
        </w:rPr>
        <w:fldChar w:fldCharType="separate"/>
      </w:r>
      <w:r w:rsidR="00631D7E">
        <w:rPr>
          <w:rFonts w:cs="Arial"/>
        </w:rPr>
        <w:t>60</w:t>
      </w:r>
      <w:r w:rsidRPr="001F6FE1">
        <w:rPr>
          <w:rFonts w:cs="Arial"/>
        </w:rPr>
        <w:fldChar w:fldCharType="end"/>
      </w:r>
    </w:p>
    <w:p w14:paraId="38893951" w14:textId="48406760" w:rsidR="00887F17" w:rsidRPr="00754431" w:rsidRDefault="00887F17" w:rsidP="007632B8">
      <w:pPr>
        <w:pStyle w:val="TOC2"/>
        <w:rPr>
          <w:rFonts w:eastAsiaTheme="minorEastAsia" w:cs="Arial"/>
          <w:color w:val="auto"/>
          <w:lang w:eastAsia="en-GB"/>
        </w:rPr>
      </w:pPr>
      <w:r w:rsidRPr="001F6FE1">
        <w:rPr>
          <w:rFonts w:cs="Arial"/>
        </w:rPr>
        <w:t>12.</w:t>
      </w:r>
      <w:r w:rsidRPr="00754431">
        <w:rPr>
          <w:rFonts w:eastAsiaTheme="minorEastAsia" w:cs="Arial"/>
          <w:color w:val="auto"/>
          <w:lang w:eastAsia="en-GB"/>
        </w:rPr>
        <w:tab/>
      </w:r>
      <w:r w:rsidRPr="001F6FE1">
        <w:rPr>
          <w:rFonts w:cs="Arial"/>
        </w:rPr>
        <w:t>Debtors</w:t>
      </w:r>
      <w:r w:rsidRPr="001F6FE1">
        <w:rPr>
          <w:rFonts w:cs="Arial"/>
        </w:rPr>
        <w:tab/>
      </w:r>
      <w:r w:rsidRPr="001F6FE1">
        <w:rPr>
          <w:rFonts w:cs="Arial"/>
        </w:rPr>
        <w:fldChar w:fldCharType="begin"/>
      </w:r>
      <w:r w:rsidRPr="001F6FE1">
        <w:rPr>
          <w:rFonts w:cs="Arial"/>
        </w:rPr>
        <w:instrText xml:space="preserve"> PAGEREF _Toc144279303 \h </w:instrText>
      </w:r>
      <w:r w:rsidRPr="001F6FE1">
        <w:rPr>
          <w:rFonts w:cs="Arial"/>
        </w:rPr>
      </w:r>
      <w:r w:rsidRPr="001F6FE1">
        <w:rPr>
          <w:rFonts w:cs="Arial"/>
        </w:rPr>
        <w:fldChar w:fldCharType="separate"/>
      </w:r>
      <w:r w:rsidR="00631D7E">
        <w:rPr>
          <w:rFonts w:cs="Arial"/>
        </w:rPr>
        <w:t>60</w:t>
      </w:r>
      <w:r w:rsidRPr="001F6FE1">
        <w:rPr>
          <w:rFonts w:cs="Arial"/>
        </w:rPr>
        <w:fldChar w:fldCharType="end"/>
      </w:r>
    </w:p>
    <w:p w14:paraId="0368BBB6" w14:textId="20A7911A" w:rsidR="00887F17" w:rsidRPr="00754431" w:rsidRDefault="00887F17" w:rsidP="007632B8">
      <w:pPr>
        <w:pStyle w:val="TOC2"/>
        <w:rPr>
          <w:rFonts w:eastAsiaTheme="minorEastAsia" w:cs="Arial"/>
          <w:color w:val="auto"/>
          <w:lang w:eastAsia="en-GB"/>
        </w:rPr>
      </w:pPr>
      <w:r w:rsidRPr="001F6FE1">
        <w:rPr>
          <w:rFonts w:cs="Arial"/>
        </w:rPr>
        <w:t>13.</w:t>
      </w:r>
      <w:r w:rsidRPr="00754431">
        <w:rPr>
          <w:rFonts w:eastAsiaTheme="minorEastAsia" w:cs="Arial"/>
          <w:color w:val="auto"/>
          <w:lang w:eastAsia="en-GB"/>
        </w:rPr>
        <w:tab/>
      </w:r>
      <w:r w:rsidRPr="001F6FE1">
        <w:rPr>
          <w:rFonts w:cs="Arial"/>
        </w:rPr>
        <w:t>Short-Term Creditors</w:t>
      </w:r>
      <w:r w:rsidRPr="001F6FE1">
        <w:rPr>
          <w:rFonts w:cs="Arial"/>
        </w:rPr>
        <w:tab/>
      </w:r>
      <w:r w:rsidRPr="001F6FE1">
        <w:rPr>
          <w:rFonts w:cs="Arial"/>
        </w:rPr>
        <w:fldChar w:fldCharType="begin"/>
      </w:r>
      <w:r w:rsidRPr="001F6FE1">
        <w:rPr>
          <w:rFonts w:cs="Arial"/>
        </w:rPr>
        <w:instrText xml:space="preserve"> PAGEREF _Toc144279304 \h </w:instrText>
      </w:r>
      <w:r w:rsidRPr="001F6FE1">
        <w:rPr>
          <w:rFonts w:cs="Arial"/>
        </w:rPr>
      </w:r>
      <w:r w:rsidRPr="001F6FE1">
        <w:rPr>
          <w:rFonts w:cs="Arial"/>
        </w:rPr>
        <w:fldChar w:fldCharType="separate"/>
      </w:r>
      <w:r w:rsidR="00631D7E">
        <w:rPr>
          <w:rFonts w:cs="Arial"/>
        </w:rPr>
        <w:t>60</w:t>
      </w:r>
      <w:r w:rsidRPr="001F6FE1">
        <w:rPr>
          <w:rFonts w:cs="Arial"/>
        </w:rPr>
        <w:fldChar w:fldCharType="end"/>
      </w:r>
    </w:p>
    <w:p w14:paraId="63F5DC14" w14:textId="6F70BFE3" w:rsidR="00887F17" w:rsidRPr="00754431" w:rsidRDefault="00887F17" w:rsidP="007632B8">
      <w:pPr>
        <w:pStyle w:val="TOC2"/>
        <w:rPr>
          <w:rFonts w:eastAsiaTheme="minorEastAsia" w:cs="Arial"/>
          <w:color w:val="auto"/>
          <w:lang w:eastAsia="en-GB"/>
        </w:rPr>
      </w:pPr>
      <w:r w:rsidRPr="001F6FE1">
        <w:rPr>
          <w:rFonts w:cs="Arial"/>
        </w:rPr>
        <w:t>14.</w:t>
      </w:r>
      <w:r w:rsidRPr="00754431">
        <w:rPr>
          <w:rFonts w:eastAsiaTheme="minorEastAsia" w:cs="Arial"/>
          <w:color w:val="auto"/>
          <w:lang w:eastAsia="en-GB"/>
        </w:rPr>
        <w:tab/>
      </w:r>
      <w:r w:rsidRPr="001F6FE1">
        <w:rPr>
          <w:rFonts w:cs="Arial"/>
        </w:rPr>
        <w:t>Provisions</w:t>
      </w:r>
      <w:r w:rsidRPr="001F6FE1">
        <w:rPr>
          <w:rFonts w:cs="Arial"/>
        </w:rPr>
        <w:tab/>
      </w:r>
      <w:r w:rsidRPr="001F6FE1">
        <w:rPr>
          <w:rFonts w:cs="Arial"/>
        </w:rPr>
        <w:fldChar w:fldCharType="begin"/>
      </w:r>
      <w:r w:rsidRPr="001F6FE1">
        <w:rPr>
          <w:rFonts w:cs="Arial"/>
        </w:rPr>
        <w:instrText xml:space="preserve"> PAGEREF _Toc144279305 \h </w:instrText>
      </w:r>
      <w:r w:rsidRPr="001F6FE1">
        <w:rPr>
          <w:rFonts w:cs="Arial"/>
        </w:rPr>
      </w:r>
      <w:r w:rsidRPr="001F6FE1">
        <w:rPr>
          <w:rFonts w:cs="Arial"/>
        </w:rPr>
        <w:fldChar w:fldCharType="separate"/>
      </w:r>
      <w:r w:rsidR="00631D7E">
        <w:rPr>
          <w:rFonts w:cs="Arial"/>
        </w:rPr>
        <w:t>61</w:t>
      </w:r>
      <w:r w:rsidRPr="001F6FE1">
        <w:rPr>
          <w:rFonts w:cs="Arial"/>
        </w:rPr>
        <w:fldChar w:fldCharType="end"/>
      </w:r>
    </w:p>
    <w:p w14:paraId="6A08D67C" w14:textId="30D23A19" w:rsidR="00887F17" w:rsidRPr="00754431" w:rsidRDefault="00887F17" w:rsidP="007632B8">
      <w:pPr>
        <w:pStyle w:val="TOC2"/>
        <w:rPr>
          <w:rFonts w:eastAsiaTheme="minorEastAsia" w:cs="Arial"/>
          <w:color w:val="auto"/>
          <w:lang w:eastAsia="en-GB"/>
        </w:rPr>
      </w:pPr>
      <w:r w:rsidRPr="001F6FE1">
        <w:rPr>
          <w:rFonts w:cs="Arial"/>
        </w:rPr>
        <w:t>15.</w:t>
      </w:r>
      <w:r w:rsidRPr="00754431">
        <w:rPr>
          <w:rFonts w:eastAsiaTheme="minorEastAsia" w:cs="Arial"/>
          <w:color w:val="auto"/>
          <w:lang w:eastAsia="en-GB"/>
        </w:rPr>
        <w:tab/>
      </w:r>
      <w:r w:rsidRPr="001F6FE1">
        <w:rPr>
          <w:rFonts w:cs="Arial"/>
        </w:rPr>
        <w:t>Pensions Reserve</w:t>
      </w:r>
      <w:r w:rsidRPr="001F6FE1">
        <w:rPr>
          <w:rFonts w:cs="Arial"/>
        </w:rPr>
        <w:tab/>
      </w:r>
      <w:r w:rsidRPr="001F6FE1">
        <w:rPr>
          <w:rFonts w:cs="Arial"/>
        </w:rPr>
        <w:fldChar w:fldCharType="begin"/>
      </w:r>
      <w:r w:rsidRPr="001F6FE1">
        <w:rPr>
          <w:rFonts w:cs="Arial"/>
        </w:rPr>
        <w:instrText xml:space="preserve"> PAGEREF _Toc144279306 \h </w:instrText>
      </w:r>
      <w:r w:rsidRPr="001F6FE1">
        <w:rPr>
          <w:rFonts w:cs="Arial"/>
        </w:rPr>
      </w:r>
      <w:r w:rsidRPr="001F6FE1">
        <w:rPr>
          <w:rFonts w:cs="Arial"/>
        </w:rPr>
        <w:fldChar w:fldCharType="separate"/>
      </w:r>
      <w:r w:rsidR="00631D7E">
        <w:rPr>
          <w:rFonts w:cs="Arial"/>
        </w:rPr>
        <w:t>61</w:t>
      </w:r>
      <w:r w:rsidRPr="001F6FE1">
        <w:rPr>
          <w:rFonts w:cs="Arial"/>
        </w:rPr>
        <w:fldChar w:fldCharType="end"/>
      </w:r>
    </w:p>
    <w:p w14:paraId="70195079" w14:textId="337B7602" w:rsidR="00887F17" w:rsidRPr="00754431" w:rsidRDefault="00887F17" w:rsidP="007632B8">
      <w:pPr>
        <w:pStyle w:val="TOC2"/>
        <w:rPr>
          <w:rFonts w:eastAsiaTheme="minorEastAsia" w:cs="Arial"/>
          <w:color w:val="auto"/>
          <w:lang w:eastAsia="en-GB"/>
        </w:rPr>
      </w:pPr>
      <w:r w:rsidRPr="001F6FE1">
        <w:rPr>
          <w:rFonts w:cs="Arial"/>
        </w:rPr>
        <w:lastRenderedPageBreak/>
        <w:t>16.</w:t>
      </w:r>
      <w:r w:rsidRPr="00754431">
        <w:rPr>
          <w:rFonts w:eastAsiaTheme="minorEastAsia" w:cs="Arial"/>
          <w:color w:val="auto"/>
          <w:lang w:eastAsia="en-GB"/>
        </w:rPr>
        <w:tab/>
      </w:r>
      <w:r w:rsidRPr="001F6FE1">
        <w:rPr>
          <w:rFonts w:cs="Arial"/>
        </w:rPr>
        <w:t>Cash Flow – Adjustments on Provision of Services for Non Cash Movements</w:t>
      </w:r>
      <w:r w:rsidRPr="001F6FE1">
        <w:rPr>
          <w:rFonts w:cs="Arial"/>
        </w:rPr>
        <w:tab/>
      </w:r>
      <w:r w:rsidRPr="001F6FE1">
        <w:rPr>
          <w:rFonts w:cs="Arial"/>
        </w:rPr>
        <w:fldChar w:fldCharType="begin"/>
      </w:r>
      <w:r w:rsidRPr="001F6FE1">
        <w:rPr>
          <w:rFonts w:cs="Arial"/>
        </w:rPr>
        <w:instrText xml:space="preserve"> PAGEREF _Toc144279307 \h </w:instrText>
      </w:r>
      <w:r w:rsidRPr="001F6FE1">
        <w:rPr>
          <w:rFonts w:cs="Arial"/>
        </w:rPr>
      </w:r>
      <w:r w:rsidRPr="001F6FE1">
        <w:rPr>
          <w:rFonts w:cs="Arial"/>
        </w:rPr>
        <w:fldChar w:fldCharType="separate"/>
      </w:r>
      <w:r w:rsidR="00631D7E">
        <w:rPr>
          <w:rFonts w:cs="Arial"/>
        </w:rPr>
        <w:t>62</w:t>
      </w:r>
      <w:r w:rsidRPr="001F6FE1">
        <w:rPr>
          <w:rFonts w:cs="Arial"/>
        </w:rPr>
        <w:fldChar w:fldCharType="end"/>
      </w:r>
    </w:p>
    <w:p w14:paraId="163134B6" w14:textId="7B1748D3" w:rsidR="00887F17" w:rsidRPr="00754431" w:rsidRDefault="00887F17" w:rsidP="007632B8">
      <w:pPr>
        <w:pStyle w:val="TOC2"/>
        <w:rPr>
          <w:rFonts w:eastAsiaTheme="minorEastAsia" w:cs="Arial"/>
          <w:color w:val="auto"/>
          <w:lang w:eastAsia="en-GB"/>
        </w:rPr>
      </w:pPr>
      <w:r w:rsidRPr="001F6FE1">
        <w:rPr>
          <w:rFonts w:cs="Arial"/>
        </w:rPr>
        <w:t>17.</w:t>
      </w:r>
      <w:r w:rsidRPr="00754431">
        <w:rPr>
          <w:rFonts w:eastAsiaTheme="minorEastAsia" w:cs="Arial"/>
          <w:color w:val="auto"/>
          <w:lang w:eastAsia="en-GB"/>
        </w:rPr>
        <w:tab/>
      </w:r>
      <w:r w:rsidRPr="001F6FE1">
        <w:rPr>
          <w:rFonts w:cs="Arial"/>
        </w:rPr>
        <w:t>Joint Operations</w:t>
      </w:r>
      <w:r w:rsidRPr="001F6FE1">
        <w:rPr>
          <w:rFonts w:cs="Arial"/>
        </w:rPr>
        <w:tab/>
      </w:r>
      <w:r w:rsidRPr="001F6FE1">
        <w:rPr>
          <w:rFonts w:cs="Arial"/>
        </w:rPr>
        <w:fldChar w:fldCharType="begin"/>
      </w:r>
      <w:r w:rsidRPr="001F6FE1">
        <w:rPr>
          <w:rFonts w:cs="Arial"/>
        </w:rPr>
        <w:instrText xml:space="preserve"> PAGEREF _Toc144279308 \h </w:instrText>
      </w:r>
      <w:r w:rsidRPr="001F6FE1">
        <w:rPr>
          <w:rFonts w:cs="Arial"/>
        </w:rPr>
      </w:r>
      <w:r w:rsidRPr="001F6FE1">
        <w:rPr>
          <w:rFonts w:cs="Arial"/>
        </w:rPr>
        <w:fldChar w:fldCharType="separate"/>
      </w:r>
      <w:r w:rsidR="00631D7E">
        <w:rPr>
          <w:rFonts w:cs="Arial"/>
        </w:rPr>
        <w:t>62</w:t>
      </w:r>
      <w:r w:rsidRPr="001F6FE1">
        <w:rPr>
          <w:rFonts w:cs="Arial"/>
        </w:rPr>
        <w:fldChar w:fldCharType="end"/>
      </w:r>
    </w:p>
    <w:p w14:paraId="56874F2F" w14:textId="250A8AF8" w:rsidR="00887F17" w:rsidRPr="00754431" w:rsidRDefault="00887F17" w:rsidP="007632B8">
      <w:pPr>
        <w:pStyle w:val="TOC2"/>
        <w:rPr>
          <w:rFonts w:eastAsiaTheme="minorEastAsia" w:cs="Arial"/>
          <w:color w:val="auto"/>
          <w:lang w:eastAsia="en-GB"/>
        </w:rPr>
      </w:pPr>
      <w:r w:rsidRPr="001F6FE1">
        <w:rPr>
          <w:rFonts w:cs="Arial"/>
        </w:rPr>
        <w:t>18.</w:t>
      </w:r>
      <w:r w:rsidRPr="00754431">
        <w:rPr>
          <w:rFonts w:eastAsiaTheme="minorEastAsia" w:cs="Arial"/>
          <w:color w:val="auto"/>
          <w:lang w:eastAsia="en-GB"/>
        </w:rPr>
        <w:tab/>
      </w:r>
      <w:r w:rsidRPr="001F6FE1">
        <w:rPr>
          <w:rFonts w:cs="Arial"/>
        </w:rPr>
        <w:t>Funded Partnerships Outside Scope of Collaborative Arrangements</w:t>
      </w:r>
      <w:r w:rsidRPr="001F6FE1">
        <w:rPr>
          <w:rFonts w:cs="Arial"/>
        </w:rPr>
        <w:tab/>
      </w:r>
      <w:r w:rsidRPr="001F6FE1">
        <w:rPr>
          <w:rFonts w:cs="Arial"/>
        </w:rPr>
        <w:fldChar w:fldCharType="begin"/>
      </w:r>
      <w:r w:rsidRPr="001F6FE1">
        <w:rPr>
          <w:rFonts w:cs="Arial"/>
        </w:rPr>
        <w:instrText xml:space="preserve"> PAGEREF _Toc144279311 \h </w:instrText>
      </w:r>
      <w:r w:rsidRPr="001F6FE1">
        <w:rPr>
          <w:rFonts w:cs="Arial"/>
        </w:rPr>
      </w:r>
      <w:r w:rsidRPr="001F6FE1">
        <w:rPr>
          <w:rFonts w:cs="Arial"/>
        </w:rPr>
        <w:fldChar w:fldCharType="separate"/>
      </w:r>
      <w:r w:rsidR="00631D7E">
        <w:rPr>
          <w:rFonts w:cs="Arial"/>
        </w:rPr>
        <w:t>63</w:t>
      </w:r>
      <w:r w:rsidRPr="001F6FE1">
        <w:rPr>
          <w:rFonts w:cs="Arial"/>
        </w:rPr>
        <w:fldChar w:fldCharType="end"/>
      </w:r>
    </w:p>
    <w:p w14:paraId="1FF5ABFF" w14:textId="384FDD87" w:rsidR="00887F17" w:rsidRPr="00754431" w:rsidRDefault="00887F17" w:rsidP="007632B8">
      <w:pPr>
        <w:pStyle w:val="TOC2"/>
        <w:rPr>
          <w:rFonts w:eastAsiaTheme="minorEastAsia" w:cs="Arial"/>
          <w:color w:val="auto"/>
          <w:lang w:eastAsia="en-GB"/>
        </w:rPr>
      </w:pPr>
      <w:r w:rsidRPr="001F6FE1">
        <w:rPr>
          <w:rFonts w:cs="Arial"/>
          <w:lang w:eastAsia="en-US"/>
        </w:rPr>
        <w:t>19.</w:t>
      </w:r>
      <w:r w:rsidRPr="00754431">
        <w:rPr>
          <w:rFonts w:eastAsiaTheme="minorEastAsia" w:cs="Arial"/>
          <w:color w:val="auto"/>
          <w:lang w:eastAsia="en-GB"/>
        </w:rPr>
        <w:tab/>
      </w:r>
      <w:r w:rsidRPr="001F6FE1">
        <w:rPr>
          <w:rFonts w:cs="Arial"/>
          <w:lang w:eastAsia="en-US"/>
        </w:rPr>
        <w:t>Audit Committee Allowances and Expenses</w:t>
      </w:r>
      <w:r w:rsidRPr="001F6FE1">
        <w:rPr>
          <w:rFonts w:cs="Arial"/>
        </w:rPr>
        <w:tab/>
      </w:r>
      <w:r w:rsidRPr="001F6FE1">
        <w:rPr>
          <w:rFonts w:cs="Arial"/>
        </w:rPr>
        <w:fldChar w:fldCharType="begin"/>
      </w:r>
      <w:r w:rsidRPr="001F6FE1">
        <w:rPr>
          <w:rFonts w:cs="Arial"/>
        </w:rPr>
        <w:instrText xml:space="preserve"> PAGEREF _Toc144279312 \h </w:instrText>
      </w:r>
      <w:r w:rsidRPr="001F6FE1">
        <w:rPr>
          <w:rFonts w:cs="Arial"/>
        </w:rPr>
      </w:r>
      <w:r w:rsidRPr="001F6FE1">
        <w:rPr>
          <w:rFonts w:cs="Arial"/>
        </w:rPr>
        <w:fldChar w:fldCharType="separate"/>
      </w:r>
      <w:r w:rsidR="00631D7E">
        <w:rPr>
          <w:rFonts w:cs="Arial"/>
        </w:rPr>
        <w:t>63</w:t>
      </w:r>
      <w:r w:rsidRPr="001F6FE1">
        <w:rPr>
          <w:rFonts w:cs="Arial"/>
        </w:rPr>
        <w:fldChar w:fldCharType="end"/>
      </w:r>
    </w:p>
    <w:p w14:paraId="2ED41B06" w14:textId="6E75DF5E" w:rsidR="00887F17" w:rsidRPr="00754431" w:rsidRDefault="00887F17" w:rsidP="007632B8">
      <w:pPr>
        <w:pStyle w:val="TOC2"/>
        <w:rPr>
          <w:rFonts w:eastAsiaTheme="minorEastAsia" w:cs="Arial"/>
          <w:color w:val="auto"/>
          <w:lang w:eastAsia="en-GB"/>
        </w:rPr>
      </w:pPr>
      <w:r w:rsidRPr="001F6FE1">
        <w:rPr>
          <w:rFonts w:cs="Arial"/>
        </w:rPr>
        <w:t>20.</w:t>
      </w:r>
      <w:r w:rsidRPr="00754431">
        <w:rPr>
          <w:rFonts w:eastAsiaTheme="minorEastAsia" w:cs="Arial"/>
          <w:color w:val="auto"/>
          <w:lang w:eastAsia="en-GB"/>
        </w:rPr>
        <w:tab/>
      </w:r>
      <w:r w:rsidRPr="001F6FE1">
        <w:rPr>
          <w:rFonts w:cs="Arial"/>
        </w:rPr>
        <w:t>Remuneration of Senior Officers</w:t>
      </w:r>
      <w:r w:rsidRPr="001F6FE1">
        <w:rPr>
          <w:rFonts w:cs="Arial"/>
        </w:rPr>
        <w:tab/>
      </w:r>
      <w:r w:rsidRPr="001F6FE1">
        <w:rPr>
          <w:rFonts w:cs="Arial"/>
        </w:rPr>
        <w:fldChar w:fldCharType="begin"/>
      </w:r>
      <w:r w:rsidRPr="001F6FE1">
        <w:rPr>
          <w:rFonts w:cs="Arial"/>
        </w:rPr>
        <w:instrText xml:space="preserve"> PAGEREF _Toc144279313 \h </w:instrText>
      </w:r>
      <w:r w:rsidRPr="001F6FE1">
        <w:rPr>
          <w:rFonts w:cs="Arial"/>
        </w:rPr>
      </w:r>
      <w:r w:rsidRPr="001F6FE1">
        <w:rPr>
          <w:rFonts w:cs="Arial"/>
        </w:rPr>
        <w:fldChar w:fldCharType="separate"/>
      </w:r>
      <w:r w:rsidR="00631D7E">
        <w:rPr>
          <w:rFonts w:cs="Arial"/>
        </w:rPr>
        <w:t>64</w:t>
      </w:r>
      <w:r w:rsidRPr="001F6FE1">
        <w:rPr>
          <w:rFonts w:cs="Arial"/>
        </w:rPr>
        <w:fldChar w:fldCharType="end"/>
      </w:r>
    </w:p>
    <w:p w14:paraId="7669F982" w14:textId="1756869F" w:rsidR="00887F17" w:rsidRPr="00754431" w:rsidRDefault="00887F17" w:rsidP="007632B8">
      <w:pPr>
        <w:pStyle w:val="TOC2"/>
        <w:rPr>
          <w:rFonts w:eastAsiaTheme="minorEastAsia" w:cs="Arial"/>
          <w:color w:val="auto"/>
          <w:lang w:eastAsia="en-GB"/>
        </w:rPr>
      </w:pPr>
      <w:r w:rsidRPr="001F6FE1">
        <w:rPr>
          <w:rFonts w:cs="Arial"/>
        </w:rPr>
        <w:t>21.</w:t>
      </w:r>
      <w:r w:rsidRPr="00754431">
        <w:rPr>
          <w:rFonts w:eastAsiaTheme="minorEastAsia" w:cs="Arial"/>
          <w:color w:val="auto"/>
          <w:lang w:eastAsia="en-GB"/>
        </w:rPr>
        <w:tab/>
      </w:r>
      <w:r w:rsidRPr="001F6FE1">
        <w:rPr>
          <w:rFonts w:cs="Arial"/>
        </w:rPr>
        <w:t>Termination Benefits</w:t>
      </w:r>
      <w:r w:rsidRPr="001F6FE1">
        <w:rPr>
          <w:rFonts w:cs="Arial"/>
        </w:rPr>
        <w:tab/>
      </w:r>
      <w:r w:rsidRPr="001F6FE1">
        <w:rPr>
          <w:rFonts w:cs="Arial"/>
        </w:rPr>
        <w:fldChar w:fldCharType="begin"/>
      </w:r>
      <w:r w:rsidRPr="001F6FE1">
        <w:rPr>
          <w:rFonts w:cs="Arial"/>
        </w:rPr>
        <w:instrText xml:space="preserve"> PAGEREF _Toc144279315 \h </w:instrText>
      </w:r>
      <w:r w:rsidRPr="001F6FE1">
        <w:rPr>
          <w:rFonts w:cs="Arial"/>
        </w:rPr>
      </w:r>
      <w:r w:rsidRPr="001F6FE1">
        <w:rPr>
          <w:rFonts w:cs="Arial"/>
        </w:rPr>
        <w:fldChar w:fldCharType="separate"/>
      </w:r>
      <w:r w:rsidR="00631D7E">
        <w:rPr>
          <w:rFonts w:cs="Arial"/>
        </w:rPr>
        <w:t>65</w:t>
      </w:r>
      <w:r w:rsidRPr="001F6FE1">
        <w:rPr>
          <w:rFonts w:cs="Arial"/>
        </w:rPr>
        <w:fldChar w:fldCharType="end"/>
      </w:r>
    </w:p>
    <w:p w14:paraId="5A95F1A0" w14:textId="137E3D19" w:rsidR="00887F17" w:rsidRPr="00754431" w:rsidRDefault="00887F17" w:rsidP="007632B8">
      <w:pPr>
        <w:pStyle w:val="TOC2"/>
        <w:rPr>
          <w:rFonts w:eastAsiaTheme="minorEastAsia" w:cs="Arial"/>
          <w:color w:val="auto"/>
          <w:lang w:eastAsia="en-GB"/>
        </w:rPr>
      </w:pPr>
      <w:r w:rsidRPr="001F6FE1">
        <w:rPr>
          <w:rFonts w:cs="Arial"/>
        </w:rPr>
        <w:t>22.</w:t>
      </w:r>
      <w:r w:rsidRPr="00754431">
        <w:rPr>
          <w:rFonts w:eastAsiaTheme="minorEastAsia" w:cs="Arial"/>
          <w:color w:val="auto"/>
          <w:lang w:eastAsia="en-GB"/>
        </w:rPr>
        <w:tab/>
      </w:r>
      <w:r w:rsidRPr="001F6FE1">
        <w:rPr>
          <w:rFonts w:cs="Arial"/>
        </w:rPr>
        <w:t>Audit Costs</w:t>
      </w:r>
      <w:r w:rsidRPr="001F6FE1">
        <w:rPr>
          <w:rFonts w:cs="Arial"/>
        </w:rPr>
        <w:tab/>
      </w:r>
      <w:r w:rsidRPr="001F6FE1">
        <w:rPr>
          <w:rFonts w:cs="Arial"/>
        </w:rPr>
        <w:fldChar w:fldCharType="begin"/>
      </w:r>
      <w:r w:rsidRPr="001F6FE1">
        <w:rPr>
          <w:rFonts w:cs="Arial"/>
        </w:rPr>
        <w:instrText xml:space="preserve"> PAGEREF _Toc144279316 \h </w:instrText>
      </w:r>
      <w:r w:rsidRPr="001F6FE1">
        <w:rPr>
          <w:rFonts w:cs="Arial"/>
        </w:rPr>
      </w:r>
      <w:r w:rsidRPr="001F6FE1">
        <w:rPr>
          <w:rFonts w:cs="Arial"/>
        </w:rPr>
        <w:fldChar w:fldCharType="separate"/>
      </w:r>
      <w:r w:rsidR="00631D7E">
        <w:rPr>
          <w:rFonts w:cs="Arial"/>
        </w:rPr>
        <w:t>65</w:t>
      </w:r>
      <w:r w:rsidRPr="001F6FE1">
        <w:rPr>
          <w:rFonts w:cs="Arial"/>
        </w:rPr>
        <w:fldChar w:fldCharType="end"/>
      </w:r>
    </w:p>
    <w:p w14:paraId="45637BA3" w14:textId="68B52603" w:rsidR="00887F17" w:rsidRPr="00754431" w:rsidRDefault="00887F17" w:rsidP="007632B8">
      <w:pPr>
        <w:pStyle w:val="TOC2"/>
        <w:rPr>
          <w:rFonts w:eastAsiaTheme="minorEastAsia" w:cs="Arial"/>
          <w:color w:val="auto"/>
          <w:lang w:eastAsia="en-GB"/>
        </w:rPr>
      </w:pPr>
      <w:r w:rsidRPr="001F6FE1">
        <w:rPr>
          <w:rFonts w:cs="Arial"/>
        </w:rPr>
        <w:t>23.</w:t>
      </w:r>
      <w:r w:rsidRPr="00754431">
        <w:rPr>
          <w:rFonts w:eastAsiaTheme="minorEastAsia" w:cs="Arial"/>
          <w:color w:val="auto"/>
          <w:lang w:eastAsia="en-GB"/>
        </w:rPr>
        <w:tab/>
      </w:r>
      <w:r w:rsidRPr="001F6FE1">
        <w:rPr>
          <w:rFonts w:cs="Arial"/>
        </w:rPr>
        <w:t>Related Party Transactions</w:t>
      </w:r>
      <w:r w:rsidRPr="001F6FE1">
        <w:rPr>
          <w:rFonts w:cs="Arial"/>
        </w:rPr>
        <w:tab/>
      </w:r>
      <w:r w:rsidRPr="001F6FE1">
        <w:rPr>
          <w:rFonts w:cs="Arial"/>
        </w:rPr>
        <w:fldChar w:fldCharType="begin"/>
      </w:r>
      <w:r w:rsidRPr="001F6FE1">
        <w:rPr>
          <w:rFonts w:cs="Arial"/>
        </w:rPr>
        <w:instrText xml:space="preserve"> PAGEREF _Toc144279317 \h </w:instrText>
      </w:r>
      <w:r w:rsidRPr="001F6FE1">
        <w:rPr>
          <w:rFonts w:cs="Arial"/>
        </w:rPr>
      </w:r>
      <w:r w:rsidRPr="001F6FE1">
        <w:rPr>
          <w:rFonts w:cs="Arial"/>
        </w:rPr>
        <w:fldChar w:fldCharType="separate"/>
      </w:r>
      <w:r w:rsidR="00631D7E">
        <w:rPr>
          <w:rFonts w:cs="Arial"/>
        </w:rPr>
        <w:t>65</w:t>
      </w:r>
      <w:r w:rsidRPr="001F6FE1">
        <w:rPr>
          <w:rFonts w:cs="Arial"/>
        </w:rPr>
        <w:fldChar w:fldCharType="end"/>
      </w:r>
    </w:p>
    <w:p w14:paraId="62A9285D" w14:textId="37115D10" w:rsidR="00887F17" w:rsidRPr="00754431" w:rsidRDefault="00887F17" w:rsidP="007632B8">
      <w:pPr>
        <w:pStyle w:val="TOC2"/>
        <w:rPr>
          <w:rFonts w:eastAsiaTheme="minorEastAsia" w:cs="Arial"/>
          <w:color w:val="auto"/>
          <w:lang w:eastAsia="en-GB"/>
        </w:rPr>
      </w:pPr>
      <w:r w:rsidRPr="001F6FE1">
        <w:rPr>
          <w:rFonts w:cs="Arial"/>
        </w:rPr>
        <w:t>24.</w:t>
      </w:r>
      <w:r w:rsidRPr="00754431">
        <w:rPr>
          <w:rFonts w:eastAsiaTheme="minorEastAsia" w:cs="Arial"/>
          <w:color w:val="auto"/>
          <w:lang w:eastAsia="en-GB"/>
        </w:rPr>
        <w:tab/>
      </w:r>
      <w:r w:rsidRPr="001F6FE1">
        <w:rPr>
          <w:rFonts w:cs="Arial"/>
        </w:rPr>
        <w:t>Retirement Benefits</w:t>
      </w:r>
      <w:r w:rsidRPr="001F6FE1">
        <w:rPr>
          <w:rFonts w:cs="Arial"/>
        </w:rPr>
        <w:tab/>
      </w:r>
      <w:r w:rsidRPr="001F6FE1">
        <w:rPr>
          <w:rFonts w:cs="Arial"/>
        </w:rPr>
        <w:fldChar w:fldCharType="begin"/>
      </w:r>
      <w:r w:rsidRPr="001F6FE1">
        <w:rPr>
          <w:rFonts w:cs="Arial"/>
        </w:rPr>
        <w:instrText xml:space="preserve"> PAGEREF _Toc144279322 \h </w:instrText>
      </w:r>
      <w:r w:rsidRPr="001F6FE1">
        <w:rPr>
          <w:rFonts w:cs="Arial"/>
        </w:rPr>
      </w:r>
      <w:r w:rsidRPr="001F6FE1">
        <w:rPr>
          <w:rFonts w:cs="Arial"/>
        </w:rPr>
        <w:fldChar w:fldCharType="separate"/>
      </w:r>
      <w:r w:rsidR="00631D7E">
        <w:rPr>
          <w:rFonts w:cs="Arial"/>
        </w:rPr>
        <w:t>66</w:t>
      </w:r>
      <w:r w:rsidRPr="001F6FE1">
        <w:rPr>
          <w:rFonts w:cs="Arial"/>
        </w:rPr>
        <w:fldChar w:fldCharType="end"/>
      </w:r>
    </w:p>
    <w:p w14:paraId="5D0F7754" w14:textId="233B0D04" w:rsidR="00887F17" w:rsidRPr="00754431" w:rsidRDefault="00887F17" w:rsidP="007632B8">
      <w:pPr>
        <w:pStyle w:val="TOC2"/>
        <w:rPr>
          <w:rFonts w:eastAsiaTheme="minorEastAsia" w:cs="Arial"/>
          <w:color w:val="auto"/>
          <w:lang w:eastAsia="en-GB"/>
        </w:rPr>
      </w:pPr>
      <w:r w:rsidRPr="001F6FE1">
        <w:rPr>
          <w:rFonts w:cs="Arial"/>
        </w:rPr>
        <w:t>25.</w:t>
      </w:r>
      <w:r w:rsidRPr="00754431">
        <w:rPr>
          <w:rFonts w:eastAsiaTheme="minorEastAsia" w:cs="Arial"/>
          <w:color w:val="auto"/>
          <w:lang w:eastAsia="en-GB"/>
        </w:rPr>
        <w:tab/>
      </w:r>
      <w:r w:rsidRPr="001F6FE1">
        <w:rPr>
          <w:rFonts w:cs="Arial"/>
        </w:rPr>
        <w:t>Contingent Liabilities</w:t>
      </w:r>
      <w:r w:rsidRPr="001F6FE1">
        <w:rPr>
          <w:rFonts w:cs="Arial"/>
        </w:rPr>
        <w:tab/>
      </w:r>
      <w:r w:rsidRPr="001F6FE1">
        <w:rPr>
          <w:rFonts w:cs="Arial"/>
        </w:rPr>
        <w:fldChar w:fldCharType="begin"/>
      </w:r>
      <w:r w:rsidRPr="001F6FE1">
        <w:rPr>
          <w:rFonts w:cs="Arial"/>
        </w:rPr>
        <w:instrText xml:space="preserve"> PAGEREF _Toc144279334 \h </w:instrText>
      </w:r>
      <w:r w:rsidRPr="001F6FE1">
        <w:rPr>
          <w:rFonts w:cs="Arial"/>
        </w:rPr>
      </w:r>
      <w:r w:rsidRPr="001F6FE1">
        <w:rPr>
          <w:rFonts w:cs="Arial"/>
        </w:rPr>
        <w:fldChar w:fldCharType="separate"/>
      </w:r>
      <w:r w:rsidR="00631D7E">
        <w:rPr>
          <w:rFonts w:cs="Arial"/>
        </w:rPr>
        <w:t>73</w:t>
      </w:r>
      <w:r w:rsidRPr="001F6FE1">
        <w:rPr>
          <w:rFonts w:cs="Arial"/>
        </w:rPr>
        <w:fldChar w:fldCharType="end"/>
      </w:r>
    </w:p>
    <w:p w14:paraId="3561BAF1" w14:textId="603A2AFD" w:rsidR="00887F17" w:rsidRPr="00754431" w:rsidRDefault="00887F17" w:rsidP="007632B8">
      <w:pPr>
        <w:pStyle w:val="TOC2"/>
        <w:rPr>
          <w:rFonts w:eastAsiaTheme="minorEastAsia" w:cs="Arial"/>
          <w:color w:val="auto"/>
          <w:lang w:eastAsia="en-GB"/>
        </w:rPr>
      </w:pPr>
      <w:r w:rsidRPr="001F6FE1">
        <w:rPr>
          <w:rFonts w:cs="Arial"/>
        </w:rPr>
        <w:t>26.</w:t>
      </w:r>
      <w:r w:rsidRPr="00754431">
        <w:rPr>
          <w:rFonts w:eastAsiaTheme="minorEastAsia" w:cs="Arial"/>
          <w:color w:val="auto"/>
          <w:lang w:eastAsia="en-GB"/>
        </w:rPr>
        <w:tab/>
      </w:r>
      <w:r w:rsidRPr="001F6FE1">
        <w:rPr>
          <w:rFonts w:cs="Arial"/>
        </w:rPr>
        <w:t>Accounting Standards Issued but Not Yet Adopted</w:t>
      </w:r>
      <w:r w:rsidRPr="001F6FE1">
        <w:rPr>
          <w:rFonts w:cs="Arial"/>
        </w:rPr>
        <w:tab/>
      </w:r>
      <w:r w:rsidRPr="001F6FE1">
        <w:rPr>
          <w:rFonts w:cs="Arial"/>
        </w:rPr>
        <w:fldChar w:fldCharType="begin"/>
      </w:r>
      <w:r w:rsidRPr="001F6FE1">
        <w:rPr>
          <w:rFonts w:cs="Arial"/>
        </w:rPr>
        <w:instrText xml:space="preserve"> PAGEREF _Toc144279335 \h </w:instrText>
      </w:r>
      <w:r w:rsidRPr="001F6FE1">
        <w:rPr>
          <w:rFonts w:cs="Arial"/>
        </w:rPr>
      </w:r>
      <w:r w:rsidRPr="001F6FE1">
        <w:rPr>
          <w:rFonts w:cs="Arial"/>
        </w:rPr>
        <w:fldChar w:fldCharType="separate"/>
      </w:r>
      <w:r w:rsidR="00631D7E">
        <w:rPr>
          <w:rFonts w:cs="Arial"/>
        </w:rPr>
        <w:t>74</w:t>
      </w:r>
      <w:r w:rsidRPr="001F6FE1">
        <w:rPr>
          <w:rFonts w:cs="Arial"/>
        </w:rPr>
        <w:fldChar w:fldCharType="end"/>
      </w:r>
    </w:p>
    <w:p w14:paraId="014D78D6" w14:textId="5DD6FEC7" w:rsidR="00887F17" w:rsidRPr="00754431" w:rsidRDefault="00887F17" w:rsidP="007632B8">
      <w:pPr>
        <w:pStyle w:val="TOC2"/>
        <w:rPr>
          <w:rFonts w:eastAsiaTheme="minorEastAsia" w:cs="Arial"/>
          <w:color w:val="auto"/>
          <w:lang w:eastAsia="en-GB"/>
        </w:rPr>
      </w:pPr>
      <w:r w:rsidRPr="001F6FE1">
        <w:rPr>
          <w:rFonts w:cs="Arial"/>
        </w:rPr>
        <w:t>27.</w:t>
      </w:r>
      <w:r w:rsidRPr="00754431">
        <w:rPr>
          <w:rFonts w:eastAsiaTheme="minorEastAsia" w:cs="Arial"/>
          <w:color w:val="auto"/>
          <w:lang w:eastAsia="en-GB"/>
        </w:rPr>
        <w:tab/>
      </w:r>
      <w:r w:rsidRPr="001F6FE1">
        <w:rPr>
          <w:rFonts w:cs="Arial"/>
        </w:rPr>
        <w:t>Non-adjustment event after reporting period</w:t>
      </w:r>
      <w:r w:rsidRPr="001F6FE1">
        <w:rPr>
          <w:rFonts w:cs="Arial"/>
        </w:rPr>
        <w:tab/>
      </w:r>
      <w:r w:rsidRPr="001F6FE1">
        <w:rPr>
          <w:rFonts w:cs="Arial"/>
        </w:rPr>
        <w:fldChar w:fldCharType="begin"/>
      </w:r>
      <w:r w:rsidRPr="001F6FE1">
        <w:rPr>
          <w:rFonts w:cs="Arial"/>
        </w:rPr>
        <w:instrText xml:space="preserve"> PAGEREF _Toc144279336 \h </w:instrText>
      </w:r>
      <w:r w:rsidRPr="001F6FE1">
        <w:rPr>
          <w:rFonts w:cs="Arial"/>
        </w:rPr>
      </w:r>
      <w:r w:rsidRPr="001F6FE1">
        <w:rPr>
          <w:rFonts w:cs="Arial"/>
        </w:rPr>
        <w:fldChar w:fldCharType="separate"/>
      </w:r>
      <w:r w:rsidR="00631D7E">
        <w:rPr>
          <w:rFonts w:cs="Arial"/>
        </w:rPr>
        <w:t>74</w:t>
      </w:r>
      <w:r w:rsidRPr="001F6FE1">
        <w:rPr>
          <w:rFonts w:cs="Arial"/>
        </w:rPr>
        <w:fldChar w:fldCharType="end"/>
      </w:r>
    </w:p>
    <w:p w14:paraId="5CF6D68D" w14:textId="3AB839A4" w:rsidR="00887F17" w:rsidRPr="00754431" w:rsidRDefault="00887F17" w:rsidP="00516B3C">
      <w:pPr>
        <w:pStyle w:val="TOC1"/>
        <w:rPr>
          <w:rFonts w:eastAsiaTheme="minorEastAsia" w:cs="Arial"/>
          <w:snapToGrid/>
          <w:color w:val="auto"/>
        </w:rPr>
      </w:pPr>
      <w:r w:rsidRPr="001F6FE1">
        <w:rPr>
          <w:rFonts w:cs="Arial"/>
        </w:rPr>
        <w:t>Home Office Memorandum Account</w:t>
      </w:r>
      <w:r w:rsidRPr="001F6FE1">
        <w:rPr>
          <w:rFonts w:cs="Arial"/>
        </w:rPr>
        <w:tab/>
      </w:r>
      <w:r w:rsidRPr="001F6FE1">
        <w:rPr>
          <w:rFonts w:cs="Arial"/>
        </w:rPr>
        <w:fldChar w:fldCharType="begin"/>
      </w:r>
      <w:r w:rsidRPr="001F6FE1">
        <w:rPr>
          <w:rFonts w:cs="Arial"/>
        </w:rPr>
        <w:instrText xml:space="preserve"> PAGEREF _Toc144279338 \h </w:instrText>
      </w:r>
      <w:r w:rsidRPr="001F6FE1">
        <w:rPr>
          <w:rFonts w:cs="Arial"/>
        </w:rPr>
      </w:r>
      <w:r w:rsidRPr="001F6FE1">
        <w:rPr>
          <w:rFonts w:cs="Arial"/>
        </w:rPr>
        <w:fldChar w:fldCharType="separate"/>
      </w:r>
      <w:r w:rsidR="00631D7E">
        <w:rPr>
          <w:rFonts w:cs="Arial"/>
        </w:rPr>
        <w:t>76</w:t>
      </w:r>
      <w:r w:rsidRPr="001F6FE1">
        <w:rPr>
          <w:rFonts w:cs="Arial"/>
        </w:rPr>
        <w:fldChar w:fldCharType="end"/>
      </w:r>
    </w:p>
    <w:p w14:paraId="0491D93F" w14:textId="2A0A6FA1" w:rsidR="00887F17" w:rsidRPr="00754431" w:rsidRDefault="00887F17" w:rsidP="00516B3C">
      <w:pPr>
        <w:pStyle w:val="TOC1"/>
        <w:rPr>
          <w:rFonts w:eastAsiaTheme="minorEastAsia" w:cs="Arial"/>
          <w:snapToGrid/>
          <w:color w:val="auto"/>
        </w:rPr>
      </w:pPr>
      <w:r w:rsidRPr="001F6FE1">
        <w:rPr>
          <w:rFonts w:cs="Arial"/>
        </w:rPr>
        <w:t>Glossary of Terms</w:t>
      </w:r>
      <w:r w:rsidRPr="001F6FE1">
        <w:rPr>
          <w:rFonts w:cs="Arial"/>
        </w:rPr>
        <w:tab/>
      </w:r>
      <w:r w:rsidRPr="001F6FE1">
        <w:rPr>
          <w:rFonts w:cs="Arial"/>
        </w:rPr>
        <w:fldChar w:fldCharType="begin"/>
      </w:r>
      <w:r w:rsidRPr="001F6FE1">
        <w:rPr>
          <w:rFonts w:cs="Arial"/>
        </w:rPr>
        <w:instrText xml:space="preserve"> PAGEREF _Toc144279339 \h </w:instrText>
      </w:r>
      <w:r w:rsidRPr="001F6FE1">
        <w:rPr>
          <w:rFonts w:cs="Arial"/>
        </w:rPr>
      </w:r>
      <w:r w:rsidRPr="001F6FE1">
        <w:rPr>
          <w:rFonts w:cs="Arial"/>
        </w:rPr>
        <w:fldChar w:fldCharType="separate"/>
      </w:r>
      <w:r w:rsidR="00631D7E">
        <w:rPr>
          <w:rFonts w:cs="Arial"/>
        </w:rPr>
        <w:t>79</w:t>
      </w:r>
      <w:r w:rsidRPr="001F6FE1">
        <w:rPr>
          <w:rFonts w:cs="Arial"/>
        </w:rPr>
        <w:fldChar w:fldCharType="end"/>
      </w:r>
    </w:p>
    <w:p w14:paraId="702E91D7" w14:textId="77CA9AAE" w:rsidR="00A44EA5" w:rsidRPr="00FA6FC0" w:rsidRDefault="00F4486D" w:rsidP="00754431">
      <w:pPr>
        <w:ind w:left="0"/>
        <w:rPr>
          <w:rFonts w:eastAsia="Times New Roman" w:cs="Times New Roman"/>
          <w:b/>
          <w:bCs/>
          <w:color w:val="000000"/>
          <w:sz w:val="28"/>
          <w:szCs w:val="28"/>
        </w:rPr>
      </w:pPr>
      <w:r w:rsidRPr="007632B8">
        <w:rPr>
          <w:rFonts w:cs="Arial"/>
          <w:sz w:val="20"/>
          <w:szCs w:val="20"/>
        </w:rPr>
        <w:fldChar w:fldCharType="end"/>
      </w:r>
      <w:r w:rsidR="00BC385F">
        <w:br w:type="page"/>
      </w:r>
      <w:bookmarkStart w:id="18" w:name="_Toc42205013"/>
      <w:bookmarkStart w:id="19" w:name="_Toc42271365"/>
      <w:bookmarkStart w:id="20" w:name="_Toc42272131"/>
      <w:bookmarkStart w:id="21" w:name="_Toc144279254"/>
      <w:r w:rsidR="00A44EA5" w:rsidRPr="00FA6FC0">
        <w:rPr>
          <w:rFonts w:eastAsia="Times New Roman" w:cs="Times New Roman"/>
          <w:b/>
          <w:bCs/>
          <w:color w:val="000000"/>
          <w:sz w:val="28"/>
          <w:szCs w:val="28"/>
        </w:rPr>
        <w:lastRenderedPageBreak/>
        <w:t>Introduction to the Financial Statements</w:t>
      </w:r>
      <w:bookmarkEnd w:id="18"/>
      <w:bookmarkEnd w:id="19"/>
      <w:bookmarkEnd w:id="20"/>
      <w:bookmarkEnd w:id="21"/>
    </w:p>
    <w:p w14:paraId="459DE250" w14:textId="77777777" w:rsidR="00A44EA5" w:rsidRPr="00FA6FC0" w:rsidRDefault="00A44EA5" w:rsidP="00A44EA5">
      <w:pPr>
        <w:rPr>
          <w:rFonts w:eastAsia="Calibri" w:cs="Times New Roman"/>
          <w:color w:val="000000"/>
        </w:rPr>
      </w:pPr>
      <w:r w:rsidRPr="00FA6FC0">
        <w:rPr>
          <w:rFonts w:eastAsia="Calibri" w:cs="Times New Roman"/>
          <w:color w:val="000000"/>
        </w:rPr>
        <w:t xml:space="preserve">Chief Constable </w:t>
      </w:r>
      <w:r>
        <w:rPr>
          <w:rFonts w:eastAsia="Calibri" w:cs="Times New Roman"/>
          <w:color w:val="000000"/>
        </w:rPr>
        <w:t>Chris Haward</w:t>
      </w:r>
    </w:p>
    <w:p w14:paraId="54FFDE9E" w14:textId="77777777" w:rsidR="00A44EA5" w:rsidRPr="00FA6FC0" w:rsidRDefault="00A44EA5" w:rsidP="00A44EA5">
      <w:pPr>
        <w:jc w:val="center"/>
        <w:rPr>
          <w:rFonts w:eastAsia="Calibri" w:cs="Times New Roman"/>
          <w:color w:val="000000"/>
        </w:rPr>
      </w:pPr>
      <w:r>
        <w:rPr>
          <w:noProof/>
        </w:rPr>
        <w:drawing>
          <wp:inline distT="0" distB="0" distL="0" distR="0" wp14:anchorId="081C7282" wp14:editId="46619DB9">
            <wp:extent cx="1738265" cy="17382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48025" cy="1748025"/>
                    </a:xfrm>
                    <a:prstGeom prst="rect">
                      <a:avLst/>
                    </a:prstGeom>
                    <a:noFill/>
                    <a:ln>
                      <a:noFill/>
                    </a:ln>
                  </pic:spPr>
                </pic:pic>
              </a:graphicData>
            </a:graphic>
          </wp:inline>
        </w:drawing>
      </w:r>
    </w:p>
    <w:p w14:paraId="770C3F24" w14:textId="2824F1AF" w:rsidR="00A44EA5" w:rsidRPr="00FA6FC0" w:rsidRDefault="00A44EA5" w:rsidP="00A44EA5">
      <w:pPr>
        <w:tabs>
          <w:tab w:val="left" w:pos="0"/>
        </w:tabs>
        <w:rPr>
          <w:rFonts w:eastAsia="Times New Roman" w:cs="Times New Roman"/>
          <w:szCs w:val="24"/>
          <w:lang w:eastAsia="en-GB"/>
        </w:rPr>
      </w:pPr>
      <w:r w:rsidRPr="00FA6FC0">
        <w:rPr>
          <w:rFonts w:eastAsia="Times New Roman" w:cs="Times New Roman"/>
          <w:szCs w:val="24"/>
          <w:lang w:eastAsia="en-GB"/>
        </w:rPr>
        <w:t xml:space="preserve">Since November 2012, policing services have been provided by two separate entities under the respective leadership of the Police and Crime Commissioner (PCC) and the Chief Constable.  </w:t>
      </w:r>
    </w:p>
    <w:p w14:paraId="2BDF4FED" w14:textId="2F19A412" w:rsidR="00A44EA5" w:rsidRPr="00FA6FC0" w:rsidRDefault="00A44EA5" w:rsidP="00A44EA5">
      <w:pPr>
        <w:tabs>
          <w:tab w:val="left" w:pos="0"/>
        </w:tabs>
        <w:rPr>
          <w:rFonts w:eastAsia="Times New Roman" w:cs="Times New Roman"/>
          <w:szCs w:val="24"/>
          <w:lang w:eastAsia="en-GB"/>
        </w:rPr>
      </w:pPr>
      <w:r>
        <w:rPr>
          <w:rFonts w:eastAsia="Times New Roman" w:cs="Times New Roman"/>
          <w:szCs w:val="24"/>
          <w:lang w:eastAsia="en-GB"/>
        </w:rPr>
        <w:t xml:space="preserve">I was appointed as Chief Constable of Lincolnshire Police in December 2020. My predecessor </w:t>
      </w:r>
      <w:r w:rsidR="0063154C">
        <w:rPr>
          <w:rFonts w:eastAsia="Times New Roman" w:cs="Times New Roman"/>
          <w:szCs w:val="24"/>
          <w:lang w:eastAsia="en-GB"/>
        </w:rPr>
        <w:t xml:space="preserve">had </w:t>
      </w:r>
      <w:r>
        <w:rPr>
          <w:rFonts w:eastAsia="Times New Roman" w:cs="Times New Roman"/>
          <w:szCs w:val="24"/>
          <w:lang w:eastAsia="en-GB"/>
        </w:rPr>
        <w:t xml:space="preserve">previously </w:t>
      </w:r>
      <w:r w:rsidRPr="00FA6FC0">
        <w:rPr>
          <w:rFonts w:eastAsia="Times New Roman" w:cs="Times New Roman"/>
          <w:szCs w:val="24"/>
          <w:lang w:eastAsia="en-GB"/>
        </w:rPr>
        <w:t xml:space="preserve">published </w:t>
      </w:r>
      <w:r>
        <w:rPr>
          <w:rFonts w:eastAsia="Times New Roman" w:cs="Times New Roman"/>
          <w:szCs w:val="24"/>
          <w:lang w:eastAsia="en-GB"/>
        </w:rPr>
        <w:t>their</w:t>
      </w:r>
      <w:r w:rsidRPr="00FA6FC0">
        <w:rPr>
          <w:rFonts w:eastAsia="Times New Roman" w:cs="Times New Roman"/>
          <w:szCs w:val="24"/>
          <w:lang w:eastAsia="en-GB"/>
        </w:rPr>
        <w:t xml:space="preserve"> strategic vision </w:t>
      </w:r>
      <w:r>
        <w:rPr>
          <w:rFonts w:eastAsia="Times New Roman" w:cs="Times New Roman"/>
          <w:szCs w:val="24"/>
          <w:lang w:eastAsia="en-GB"/>
        </w:rPr>
        <w:t>‘</w:t>
      </w:r>
      <w:r w:rsidRPr="00FA6FC0">
        <w:rPr>
          <w:rFonts w:eastAsia="Times New Roman" w:cs="Times New Roman"/>
          <w:szCs w:val="24"/>
          <w:lang w:eastAsia="en-GB"/>
        </w:rPr>
        <w:t>Distinctively Lincolnshire</w:t>
      </w:r>
      <w:r>
        <w:rPr>
          <w:rFonts w:eastAsia="Times New Roman" w:cs="Times New Roman"/>
          <w:szCs w:val="24"/>
          <w:lang w:eastAsia="en-GB"/>
        </w:rPr>
        <w:t xml:space="preserve">’, </w:t>
      </w:r>
      <w:r w:rsidR="007402EF">
        <w:rPr>
          <w:rFonts w:eastAsia="Times New Roman" w:cs="Times New Roman"/>
          <w:szCs w:val="24"/>
          <w:lang w:eastAsia="en-GB"/>
        </w:rPr>
        <w:t>which remained</w:t>
      </w:r>
      <w:r>
        <w:rPr>
          <w:rFonts w:eastAsia="Times New Roman" w:cs="Times New Roman"/>
          <w:szCs w:val="24"/>
          <w:lang w:eastAsia="en-GB"/>
        </w:rPr>
        <w:t xml:space="preserve"> in effect to the end of the 2020/21 financial year whilst I have taken time </w:t>
      </w:r>
      <w:r w:rsidR="007402EF">
        <w:rPr>
          <w:rFonts w:eastAsia="Times New Roman" w:cs="Times New Roman"/>
          <w:szCs w:val="24"/>
          <w:lang w:eastAsia="en-GB"/>
        </w:rPr>
        <w:t>to make</w:t>
      </w:r>
      <w:r>
        <w:rPr>
          <w:rFonts w:eastAsia="Times New Roman" w:cs="Times New Roman"/>
          <w:szCs w:val="24"/>
          <w:lang w:eastAsia="en-GB"/>
        </w:rPr>
        <w:t xml:space="preserve"> my own plans for the strategic direction of the Force.</w:t>
      </w:r>
      <w:r w:rsidRPr="00FA6FC0">
        <w:rPr>
          <w:rFonts w:eastAsia="Times New Roman" w:cs="Times New Roman"/>
          <w:szCs w:val="24"/>
          <w:lang w:eastAsia="en-GB"/>
        </w:rPr>
        <w:t xml:space="preserve"> </w:t>
      </w:r>
    </w:p>
    <w:p w14:paraId="3109F6B7" w14:textId="33EE41CB" w:rsidR="00A44EA5" w:rsidRPr="00FA6FC0" w:rsidRDefault="00A44EA5" w:rsidP="00A44EA5">
      <w:pPr>
        <w:tabs>
          <w:tab w:val="left" w:pos="0"/>
        </w:tabs>
        <w:rPr>
          <w:rFonts w:eastAsia="Times New Roman" w:cs="Times New Roman"/>
          <w:szCs w:val="24"/>
          <w:lang w:eastAsia="en-GB"/>
        </w:rPr>
      </w:pPr>
      <w:r>
        <w:rPr>
          <w:rFonts w:eastAsia="Times New Roman" w:cs="Times New Roman"/>
          <w:szCs w:val="24"/>
          <w:lang w:eastAsia="en-GB"/>
        </w:rPr>
        <w:t>The</w:t>
      </w:r>
      <w:r w:rsidRPr="00FA6FC0">
        <w:rPr>
          <w:rFonts w:eastAsia="Times New Roman" w:cs="Times New Roman"/>
          <w:szCs w:val="24"/>
          <w:lang w:eastAsia="en-GB"/>
        </w:rPr>
        <w:t xml:space="preserve"> Force’s corporate planning </w:t>
      </w:r>
      <w:r w:rsidR="00BC6E16">
        <w:rPr>
          <w:rFonts w:eastAsia="Times New Roman" w:cs="Times New Roman"/>
          <w:szCs w:val="24"/>
          <w:lang w:eastAsia="en-GB"/>
        </w:rPr>
        <w:t xml:space="preserve">prior to my </w:t>
      </w:r>
      <w:r w:rsidR="007402EF">
        <w:rPr>
          <w:rFonts w:eastAsia="Times New Roman" w:cs="Times New Roman"/>
          <w:szCs w:val="24"/>
          <w:lang w:eastAsia="en-GB"/>
        </w:rPr>
        <w:t>appointment</w:t>
      </w:r>
      <w:r w:rsidR="00BC6E16">
        <w:rPr>
          <w:rFonts w:eastAsia="Times New Roman" w:cs="Times New Roman"/>
          <w:szCs w:val="24"/>
          <w:lang w:eastAsia="en-GB"/>
        </w:rPr>
        <w:t xml:space="preserve"> </w:t>
      </w:r>
      <w:r w:rsidRPr="00FA6FC0">
        <w:rPr>
          <w:rFonts w:eastAsia="Times New Roman" w:cs="Times New Roman"/>
          <w:szCs w:val="24"/>
          <w:lang w:eastAsia="en-GB"/>
        </w:rPr>
        <w:t xml:space="preserve">has been driven by </w:t>
      </w:r>
      <w:r>
        <w:rPr>
          <w:rFonts w:eastAsia="Times New Roman" w:cs="Times New Roman"/>
          <w:szCs w:val="24"/>
          <w:lang w:eastAsia="en-GB"/>
        </w:rPr>
        <w:t>‘</w:t>
      </w:r>
      <w:r w:rsidRPr="00FA6FC0">
        <w:rPr>
          <w:rFonts w:eastAsia="Times New Roman" w:cs="Times New Roman"/>
          <w:szCs w:val="24"/>
          <w:lang w:eastAsia="en-GB"/>
        </w:rPr>
        <w:t>Distinctively Lincolnshire</w:t>
      </w:r>
      <w:r>
        <w:rPr>
          <w:rFonts w:eastAsia="Times New Roman" w:cs="Times New Roman"/>
          <w:szCs w:val="24"/>
          <w:lang w:eastAsia="en-GB"/>
        </w:rPr>
        <w:t>’</w:t>
      </w:r>
      <w:r w:rsidRPr="00FA6FC0">
        <w:rPr>
          <w:rFonts w:eastAsia="Times New Roman" w:cs="Times New Roman"/>
          <w:szCs w:val="24"/>
          <w:lang w:eastAsia="en-GB"/>
        </w:rPr>
        <w:t xml:space="preserve"> </w:t>
      </w:r>
      <w:r>
        <w:rPr>
          <w:rFonts w:eastAsia="Times New Roman" w:cs="Times New Roman"/>
          <w:szCs w:val="24"/>
          <w:lang w:eastAsia="en-GB"/>
        </w:rPr>
        <w:t>and any</w:t>
      </w:r>
      <w:r w:rsidRPr="00FA6FC0">
        <w:rPr>
          <w:rFonts w:eastAsia="Times New Roman" w:cs="Times New Roman"/>
          <w:szCs w:val="24"/>
          <w:lang w:eastAsia="en-GB"/>
        </w:rPr>
        <w:t xml:space="preserve"> delivery plans underpinning the strategy </w:t>
      </w:r>
      <w:r>
        <w:rPr>
          <w:rFonts w:eastAsia="Times New Roman" w:cs="Times New Roman"/>
          <w:szCs w:val="24"/>
          <w:lang w:eastAsia="en-GB"/>
        </w:rPr>
        <w:t>were</w:t>
      </w:r>
      <w:r w:rsidRPr="00FA6FC0">
        <w:rPr>
          <w:rFonts w:eastAsia="Times New Roman" w:cs="Times New Roman"/>
          <w:szCs w:val="24"/>
          <w:lang w:eastAsia="en-GB"/>
        </w:rPr>
        <w:t xml:space="preserve"> designed to ensure that the force focuses on the four principles of the Police and Crime Plan:</w:t>
      </w:r>
    </w:p>
    <w:p w14:paraId="664A861F" w14:textId="77777777" w:rsidR="00A44EA5" w:rsidRPr="00FA6FC0" w:rsidRDefault="00A44EA5" w:rsidP="00A44EA5">
      <w:pPr>
        <w:numPr>
          <w:ilvl w:val="0"/>
          <w:numId w:val="12"/>
        </w:numPr>
        <w:tabs>
          <w:tab w:val="left" w:pos="0"/>
        </w:tabs>
        <w:spacing w:before="120" w:after="120"/>
        <w:ind w:left="709" w:hanging="284"/>
        <w:rPr>
          <w:rFonts w:eastAsia="Times New Roman" w:cs="Times New Roman"/>
          <w:szCs w:val="24"/>
          <w:lang w:eastAsia="en-GB"/>
        </w:rPr>
      </w:pPr>
      <w:r w:rsidRPr="00FA6FC0">
        <w:rPr>
          <w:rFonts w:eastAsia="Times New Roman" w:cs="Times New Roman"/>
          <w:szCs w:val="24"/>
          <w:lang w:eastAsia="en-GB"/>
        </w:rPr>
        <w:t xml:space="preserve">Community safety and prevention through </w:t>
      </w:r>
      <w:proofErr w:type="gramStart"/>
      <w:r w:rsidRPr="00FA6FC0">
        <w:rPr>
          <w:rFonts w:eastAsia="Times New Roman" w:cs="Times New Roman"/>
          <w:szCs w:val="24"/>
          <w:lang w:eastAsia="en-GB"/>
        </w:rPr>
        <w:t>partnership;</w:t>
      </w:r>
      <w:proofErr w:type="gramEnd"/>
    </w:p>
    <w:p w14:paraId="54084394" w14:textId="77777777" w:rsidR="00A44EA5" w:rsidRPr="00FA6FC0" w:rsidRDefault="00A44EA5" w:rsidP="00A44EA5">
      <w:pPr>
        <w:numPr>
          <w:ilvl w:val="0"/>
          <w:numId w:val="12"/>
        </w:numPr>
        <w:tabs>
          <w:tab w:val="left" w:pos="0"/>
        </w:tabs>
        <w:spacing w:before="120" w:after="120"/>
        <w:ind w:left="709" w:hanging="284"/>
        <w:rPr>
          <w:rFonts w:eastAsia="Times New Roman" w:cs="Times New Roman"/>
          <w:szCs w:val="24"/>
          <w:lang w:eastAsia="en-GB"/>
        </w:rPr>
      </w:pPr>
      <w:r w:rsidRPr="00FA6FC0">
        <w:rPr>
          <w:rFonts w:eastAsia="Times New Roman" w:cs="Times New Roman"/>
          <w:szCs w:val="24"/>
          <w:lang w:eastAsia="en-GB"/>
        </w:rPr>
        <w:t xml:space="preserve">Listening, responding and being </w:t>
      </w:r>
      <w:proofErr w:type="gramStart"/>
      <w:r w:rsidRPr="00FA6FC0">
        <w:rPr>
          <w:rFonts w:eastAsia="Times New Roman" w:cs="Times New Roman"/>
          <w:szCs w:val="24"/>
          <w:lang w:eastAsia="en-GB"/>
        </w:rPr>
        <w:t>accountable;</w:t>
      </w:r>
      <w:proofErr w:type="gramEnd"/>
      <w:r w:rsidRPr="00FA6FC0">
        <w:rPr>
          <w:rFonts w:eastAsia="Times New Roman" w:cs="Times New Roman"/>
          <w:szCs w:val="24"/>
          <w:lang w:eastAsia="en-GB"/>
        </w:rPr>
        <w:t xml:space="preserve"> </w:t>
      </w:r>
    </w:p>
    <w:p w14:paraId="5C156951" w14:textId="77777777" w:rsidR="00A44EA5" w:rsidRPr="00FA6FC0" w:rsidRDefault="00A44EA5" w:rsidP="00A44EA5">
      <w:pPr>
        <w:numPr>
          <w:ilvl w:val="0"/>
          <w:numId w:val="12"/>
        </w:numPr>
        <w:tabs>
          <w:tab w:val="left" w:pos="0"/>
        </w:tabs>
        <w:spacing w:before="120" w:after="120"/>
        <w:ind w:left="709" w:hanging="284"/>
        <w:rPr>
          <w:rFonts w:eastAsia="Times New Roman" w:cs="Times New Roman"/>
          <w:szCs w:val="24"/>
          <w:lang w:eastAsia="en-GB"/>
        </w:rPr>
      </w:pPr>
      <w:r w:rsidRPr="00FA6FC0">
        <w:rPr>
          <w:rFonts w:eastAsia="Times New Roman" w:cs="Times New Roman"/>
          <w:szCs w:val="24"/>
          <w:lang w:eastAsia="en-GB"/>
        </w:rPr>
        <w:t xml:space="preserve">Protecting and supporting victims and the </w:t>
      </w:r>
      <w:proofErr w:type="gramStart"/>
      <w:r w:rsidRPr="00FA6FC0">
        <w:rPr>
          <w:rFonts w:eastAsia="Times New Roman" w:cs="Times New Roman"/>
          <w:szCs w:val="24"/>
          <w:lang w:eastAsia="en-GB"/>
        </w:rPr>
        <w:t>vulnerable;</w:t>
      </w:r>
      <w:proofErr w:type="gramEnd"/>
    </w:p>
    <w:p w14:paraId="3C763F7D" w14:textId="77777777" w:rsidR="00A44EA5" w:rsidRPr="00FA6FC0" w:rsidRDefault="00A44EA5" w:rsidP="00A44EA5">
      <w:pPr>
        <w:numPr>
          <w:ilvl w:val="0"/>
          <w:numId w:val="12"/>
        </w:numPr>
        <w:tabs>
          <w:tab w:val="left" w:pos="0"/>
        </w:tabs>
        <w:spacing w:before="120" w:after="120"/>
        <w:ind w:left="709" w:hanging="284"/>
        <w:rPr>
          <w:rFonts w:eastAsia="Times New Roman" w:cs="Times New Roman"/>
          <w:szCs w:val="24"/>
          <w:lang w:eastAsia="en-GB"/>
        </w:rPr>
      </w:pPr>
      <w:r w:rsidRPr="00FA6FC0">
        <w:rPr>
          <w:rFonts w:eastAsia="Times New Roman" w:cs="Times New Roman"/>
          <w:szCs w:val="24"/>
          <w:lang w:eastAsia="en-GB"/>
        </w:rPr>
        <w:t>Policing that works.</w:t>
      </w:r>
    </w:p>
    <w:p w14:paraId="4A7D7420" w14:textId="2F21E9A7" w:rsidR="0063154C" w:rsidRPr="00FA6FC0" w:rsidRDefault="0063154C" w:rsidP="0063154C">
      <w:pPr>
        <w:tabs>
          <w:tab w:val="left" w:pos="0"/>
        </w:tabs>
        <w:rPr>
          <w:rFonts w:eastAsia="Times New Roman" w:cs="Times New Roman"/>
          <w:szCs w:val="24"/>
          <w:lang w:eastAsia="en-GB"/>
        </w:rPr>
      </w:pPr>
      <w:r>
        <w:rPr>
          <w:rFonts w:eastAsia="Times New Roman" w:cs="Times New Roman"/>
          <w:szCs w:val="24"/>
          <w:lang w:eastAsia="en-GB"/>
        </w:rPr>
        <w:t>A</w:t>
      </w:r>
      <w:r w:rsidR="00A44EA5">
        <w:rPr>
          <w:rFonts w:eastAsia="Times New Roman" w:cs="Times New Roman"/>
          <w:szCs w:val="24"/>
          <w:lang w:eastAsia="en-GB"/>
        </w:rPr>
        <w:t xml:space="preserve"> corporate planning day </w:t>
      </w:r>
      <w:r w:rsidR="007402EF">
        <w:rPr>
          <w:rFonts w:eastAsia="Times New Roman" w:cs="Times New Roman"/>
          <w:szCs w:val="24"/>
          <w:lang w:eastAsia="en-GB"/>
        </w:rPr>
        <w:t>was held</w:t>
      </w:r>
      <w:r>
        <w:rPr>
          <w:rFonts w:eastAsia="Times New Roman" w:cs="Times New Roman"/>
          <w:szCs w:val="24"/>
          <w:lang w:eastAsia="en-GB"/>
        </w:rPr>
        <w:t xml:space="preserve"> </w:t>
      </w:r>
      <w:r w:rsidR="00A44EA5">
        <w:rPr>
          <w:rFonts w:eastAsia="Times New Roman" w:cs="Times New Roman"/>
          <w:szCs w:val="24"/>
          <w:lang w:eastAsia="en-GB"/>
        </w:rPr>
        <w:t xml:space="preserve">early in 2021 </w:t>
      </w:r>
      <w:proofErr w:type="gramStart"/>
      <w:r>
        <w:rPr>
          <w:rFonts w:eastAsia="Times New Roman" w:cs="Times New Roman"/>
          <w:szCs w:val="24"/>
          <w:lang w:eastAsia="en-GB"/>
        </w:rPr>
        <w:t xml:space="preserve">in order </w:t>
      </w:r>
      <w:r w:rsidR="007402EF">
        <w:rPr>
          <w:rFonts w:eastAsia="Times New Roman" w:cs="Times New Roman"/>
          <w:szCs w:val="24"/>
          <w:lang w:eastAsia="en-GB"/>
        </w:rPr>
        <w:t>to</w:t>
      </w:r>
      <w:proofErr w:type="gramEnd"/>
      <w:r w:rsidR="007402EF">
        <w:rPr>
          <w:rFonts w:eastAsia="Times New Roman" w:cs="Times New Roman"/>
          <w:szCs w:val="24"/>
          <w:lang w:eastAsia="en-GB"/>
        </w:rPr>
        <w:t xml:space="preserve"> determine</w:t>
      </w:r>
      <w:r>
        <w:rPr>
          <w:rFonts w:eastAsia="Times New Roman" w:cs="Times New Roman"/>
          <w:szCs w:val="24"/>
          <w:lang w:eastAsia="en-GB"/>
        </w:rPr>
        <w:t xml:space="preserve"> the new </w:t>
      </w:r>
      <w:r w:rsidR="00A44EA5">
        <w:rPr>
          <w:rFonts w:eastAsia="Times New Roman" w:cs="Times New Roman"/>
          <w:szCs w:val="24"/>
          <w:lang w:eastAsia="en-GB"/>
        </w:rPr>
        <w:t>strategy for the Force</w:t>
      </w:r>
      <w:r>
        <w:rPr>
          <w:rFonts w:eastAsia="Times New Roman" w:cs="Times New Roman"/>
          <w:szCs w:val="24"/>
          <w:lang w:eastAsia="en-GB"/>
        </w:rPr>
        <w:t>.</w:t>
      </w:r>
      <w:r w:rsidR="001F6FE1">
        <w:rPr>
          <w:rFonts w:eastAsia="Times New Roman" w:cs="Times New Roman"/>
          <w:szCs w:val="24"/>
          <w:lang w:eastAsia="en-GB"/>
        </w:rPr>
        <w:t xml:space="preserve">  </w:t>
      </w:r>
      <w:r>
        <w:rPr>
          <w:rFonts w:eastAsia="Times New Roman" w:cs="Times New Roman"/>
          <w:szCs w:val="24"/>
          <w:lang w:eastAsia="en-GB"/>
        </w:rPr>
        <w:t xml:space="preserve">My strategy “Making Lincolnshire Safe” was published early in the financial year 2021/22 and will determine the operational direction of the force going forward. </w:t>
      </w:r>
      <w:r w:rsidRPr="00FA6FC0">
        <w:rPr>
          <w:rFonts w:eastAsia="Times New Roman" w:cs="Times New Roman"/>
          <w:szCs w:val="24"/>
          <w:lang w:eastAsia="en-GB"/>
        </w:rPr>
        <w:t xml:space="preserve"> </w:t>
      </w:r>
    </w:p>
    <w:p w14:paraId="69E2F99F" w14:textId="31E7CBE8" w:rsidR="00A44EA5" w:rsidRDefault="00A44EA5" w:rsidP="00A44EA5">
      <w:pPr>
        <w:tabs>
          <w:tab w:val="left" w:pos="0"/>
        </w:tabs>
        <w:rPr>
          <w:rFonts w:eastAsia="Times New Roman" w:cs="Times New Roman"/>
          <w:szCs w:val="24"/>
          <w:lang w:eastAsia="en-GB"/>
        </w:rPr>
      </w:pPr>
      <w:r>
        <w:rPr>
          <w:rFonts w:eastAsia="Times New Roman" w:cs="Times New Roman"/>
          <w:szCs w:val="24"/>
          <w:lang w:eastAsia="en-GB"/>
        </w:rPr>
        <w:t>I can</w:t>
      </w:r>
      <w:r w:rsidR="0063154C">
        <w:rPr>
          <w:rFonts w:eastAsia="Times New Roman" w:cs="Times New Roman"/>
          <w:szCs w:val="24"/>
          <w:lang w:eastAsia="en-GB"/>
        </w:rPr>
        <w:t>,</w:t>
      </w:r>
      <w:r>
        <w:rPr>
          <w:rFonts w:eastAsia="Times New Roman" w:cs="Times New Roman"/>
          <w:szCs w:val="24"/>
          <w:lang w:eastAsia="en-GB"/>
        </w:rPr>
        <w:t xml:space="preserve"> however</w:t>
      </w:r>
      <w:r w:rsidR="0063154C">
        <w:rPr>
          <w:rFonts w:eastAsia="Times New Roman" w:cs="Times New Roman"/>
          <w:szCs w:val="24"/>
          <w:lang w:eastAsia="en-GB"/>
        </w:rPr>
        <w:t>,</w:t>
      </w:r>
      <w:r>
        <w:rPr>
          <w:rFonts w:eastAsia="Times New Roman" w:cs="Times New Roman"/>
          <w:szCs w:val="24"/>
          <w:lang w:eastAsia="en-GB"/>
        </w:rPr>
        <w:t xml:space="preserve"> </w:t>
      </w:r>
      <w:r w:rsidR="007402EF">
        <w:rPr>
          <w:rFonts w:eastAsia="Times New Roman" w:cs="Times New Roman"/>
          <w:szCs w:val="24"/>
          <w:lang w:eastAsia="en-GB"/>
        </w:rPr>
        <w:t>summarise some</w:t>
      </w:r>
      <w:r>
        <w:rPr>
          <w:rFonts w:eastAsia="Times New Roman" w:cs="Times New Roman"/>
          <w:szCs w:val="24"/>
          <w:lang w:eastAsia="en-GB"/>
        </w:rPr>
        <w:t xml:space="preserve"> of the progress and achievements in 2020/21</w:t>
      </w:r>
      <w:r w:rsidR="0063154C">
        <w:rPr>
          <w:rFonts w:eastAsia="Times New Roman" w:cs="Times New Roman"/>
          <w:szCs w:val="24"/>
          <w:lang w:eastAsia="en-GB"/>
        </w:rPr>
        <w:t xml:space="preserve"> based on the previous strategy</w:t>
      </w:r>
      <w:r>
        <w:rPr>
          <w:rFonts w:eastAsia="Times New Roman" w:cs="Times New Roman"/>
          <w:szCs w:val="24"/>
          <w:lang w:eastAsia="en-GB"/>
        </w:rPr>
        <w:t xml:space="preserve">. </w:t>
      </w:r>
    </w:p>
    <w:p w14:paraId="438F3602" w14:textId="284D097C" w:rsidR="00A44EA5" w:rsidRDefault="00A44EA5" w:rsidP="00A44EA5">
      <w:pPr>
        <w:tabs>
          <w:tab w:val="left" w:pos="0"/>
        </w:tabs>
        <w:rPr>
          <w:rFonts w:eastAsia="Times New Roman" w:cs="Times New Roman"/>
          <w:szCs w:val="24"/>
          <w:lang w:eastAsia="en-GB"/>
        </w:rPr>
      </w:pPr>
      <w:r>
        <w:rPr>
          <w:rFonts w:eastAsia="Times New Roman" w:cs="Times New Roman"/>
          <w:szCs w:val="24"/>
          <w:lang w:eastAsia="en-GB"/>
        </w:rPr>
        <w:t xml:space="preserve">Following </w:t>
      </w:r>
      <w:r w:rsidRPr="00FA6FC0">
        <w:rPr>
          <w:rFonts w:eastAsia="Times New Roman" w:cs="Times New Roman"/>
          <w:szCs w:val="24"/>
          <w:lang w:eastAsia="en-GB"/>
        </w:rPr>
        <w:t xml:space="preserve">a substantial piece of work </w:t>
      </w:r>
      <w:r>
        <w:rPr>
          <w:rFonts w:eastAsia="Times New Roman" w:cs="Times New Roman"/>
          <w:szCs w:val="24"/>
          <w:lang w:eastAsia="en-GB"/>
        </w:rPr>
        <w:t>in 2019/20</w:t>
      </w:r>
      <w:r w:rsidR="001C345D">
        <w:rPr>
          <w:rFonts w:eastAsia="Times New Roman" w:cs="Times New Roman"/>
          <w:szCs w:val="24"/>
          <w:lang w:eastAsia="en-GB"/>
        </w:rPr>
        <w:t>,</w:t>
      </w:r>
      <w:r>
        <w:rPr>
          <w:rFonts w:eastAsia="Times New Roman" w:cs="Times New Roman"/>
          <w:szCs w:val="24"/>
          <w:lang w:eastAsia="en-GB"/>
        </w:rPr>
        <w:t xml:space="preserve"> a business case was presented for a Business Intelligence tool </w:t>
      </w:r>
      <w:r w:rsidR="001C345D" w:rsidRPr="00FA6FC0">
        <w:rPr>
          <w:rFonts w:eastAsia="Times New Roman" w:cs="Times New Roman"/>
          <w:szCs w:val="24"/>
          <w:lang w:eastAsia="en-GB"/>
        </w:rPr>
        <w:t xml:space="preserve">to assist the </w:t>
      </w:r>
      <w:r w:rsidR="001C345D">
        <w:rPr>
          <w:rFonts w:eastAsia="Times New Roman" w:cs="Times New Roman"/>
          <w:szCs w:val="24"/>
          <w:lang w:eastAsia="en-GB"/>
        </w:rPr>
        <w:t>F</w:t>
      </w:r>
      <w:r w:rsidR="001C345D" w:rsidRPr="00FA6FC0">
        <w:rPr>
          <w:rFonts w:eastAsia="Times New Roman" w:cs="Times New Roman"/>
          <w:szCs w:val="24"/>
          <w:lang w:eastAsia="en-GB"/>
        </w:rPr>
        <w:t xml:space="preserve">orce in understanding and forecasting its demand for services </w:t>
      </w:r>
      <w:r>
        <w:rPr>
          <w:rFonts w:eastAsia="Times New Roman" w:cs="Times New Roman"/>
          <w:szCs w:val="24"/>
          <w:lang w:eastAsia="en-GB"/>
        </w:rPr>
        <w:t>and the PCC agreed to fund this service development</w:t>
      </w:r>
      <w:r w:rsidR="001C345D">
        <w:rPr>
          <w:rFonts w:eastAsia="Times New Roman" w:cs="Times New Roman"/>
          <w:szCs w:val="24"/>
          <w:lang w:eastAsia="en-GB"/>
        </w:rPr>
        <w:t>.</w:t>
      </w:r>
      <w:r>
        <w:rPr>
          <w:rFonts w:eastAsia="Times New Roman" w:cs="Times New Roman"/>
          <w:szCs w:val="24"/>
          <w:lang w:eastAsia="en-GB"/>
        </w:rPr>
        <w:t xml:space="preserve"> </w:t>
      </w:r>
      <w:r w:rsidRPr="00FA6FC0">
        <w:rPr>
          <w:rFonts w:eastAsia="Times New Roman" w:cs="Times New Roman"/>
          <w:szCs w:val="24"/>
          <w:lang w:eastAsia="en-GB"/>
        </w:rPr>
        <w:t xml:space="preserve">The purpose of this </w:t>
      </w:r>
      <w:r>
        <w:rPr>
          <w:rFonts w:eastAsia="Times New Roman" w:cs="Times New Roman"/>
          <w:szCs w:val="24"/>
          <w:lang w:eastAsia="en-GB"/>
        </w:rPr>
        <w:t>is</w:t>
      </w:r>
      <w:r w:rsidRPr="00FA6FC0">
        <w:rPr>
          <w:rFonts w:eastAsia="Times New Roman" w:cs="Times New Roman"/>
          <w:szCs w:val="24"/>
          <w:lang w:eastAsia="en-GB"/>
        </w:rPr>
        <w:t xml:space="preserve"> </w:t>
      </w:r>
      <w:r w:rsidR="007402EF" w:rsidRPr="00FA6FC0">
        <w:rPr>
          <w:rFonts w:eastAsia="Times New Roman" w:cs="Times New Roman"/>
          <w:szCs w:val="24"/>
          <w:lang w:eastAsia="en-GB"/>
        </w:rPr>
        <w:t>to manage</w:t>
      </w:r>
      <w:r w:rsidRPr="00FA6FC0">
        <w:rPr>
          <w:rFonts w:eastAsia="Times New Roman" w:cs="Times New Roman"/>
          <w:szCs w:val="24"/>
          <w:lang w:eastAsia="en-GB"/>
        </w:rPr>
        <w:t xml:space="preserve"> demand </w:t>
      </w:r>
      <w:r w:rsidR="001C345D">
        <w:rPr>
          <w:rFonts w:eastAsia="Times New Roman" w:cs="Times New Roman"/>
          <w:szCs w:val="24"/>
          <w:lang w:eastAsia="en-GB"/>
        </w:rPr>
        <w:t xml:space="preserve">more effectively </w:t>
      </w:r>
      <w:proofErr w:type="gramStart"/>
      <w:r w:rsidR="001C345D">
        <w:rPr>
          <w:rFonts w:eastAsia="Times New Roman" w:cs="Times New Roman"/>
          <w:szCs w:val="24"/>
          <w:lang w:eastAsia="en-GB"/>
        </w:rPr>
        <w:t>in order to</w:t>
      </w:r>
      <w:proofErr w:type="gramEnd"/>
      <w:r w:rsidR="001C345D">
        <w:rPr>
          <w:rFonts w:eastAsia="Times New Roman" w:cs="Times New Roman"/>
          <w:szCs w:val="24"/>
          <w:lang w:eastAsia="en-GB"/>
        </w:rPr>
        <w:t xml:space="preserve"> set </w:t>
      </w:r>
      <w:r w:rsidR="007402EF">
        <w:rPr>
          <w:rFonts w:eastAsia="Times New Roman" w:cs="Times New Roman"/>
          <w:szCs w:val="24"/>
          <w:lang w:eastAsia="en-GB"/>
        </w:rPr>
        <w:t xml:space="preserve">out </w:t>
      </w:r>
      <w:r w:rsidR="007402EF" w:rsidRPr="00FA6FC0">
        <w:rPr>
          <w:rFonts w:eastAsia="Times New Roman" w:cs="Times New Roman"/>
          <w:szCs w:val="24"/>
          <w:lang w:eastAsia="en-GB"/>
        </w:rPr>
        <w:t>the</w:t>
      </w:r>
      <w:r w:rsidRPr="00FA6FC0">
        <w:rPr>
          <w:rFonts w:eastAsia="Times New Roman" w:cs="Times New Roman"/>
          <w:szCs w:val="24"/>
          <w:lang w:eastAsia="en-GB"/>
        </w:rPr>
        <w:t xml:space="preserve"> levels of service the public should expect; to assist in providing </w:t>
      </w:r>
      <w:r w:rsidR="001C345D">
        <w:rPr>
          <w:rFonts w:eastAsia="Times New Roman" w:cs="Times New Roman"/>
          <w:szCs w:val="24"/>
          <w:lang w:eastAsia="en-GB"/>
        </w:rPr>
        <w:t xml:space="preserve">accurate, timely </w:t>
      </w:r>
      <w:r w:rsidR="007402EF">
        <w:rPr>
          <w:rFonts w:eastAsia="Times New Roman" w:cs="Times New Roman"/>
          <w:szCs w:val="24"/>
          <w:lang w:eastAsia="en-GB"/>
        </w:rPr>
        <w:t xml:space="preserve">data </w:t>
      </w:r>
      <w:r w:rsidR="007402EF" w:rsidRPr="00FA6FC0">
        <w:rPr>
          <w:rFonts w:eastAsia="Times New Roman" w:cs="Times New Roman"/>
          <w:szCs w:val="24"/>
          <w:lang w:eastAsia="en-GB"/>
        </w:rPr>
        <w:t>to</w:t>
      </w:r>
      <w:r w:rsidRPr="00FA6FC0">
        <w:rPr>
          <w:rFonts w:eastAsia="Times New Roman" w:cs="Times New Roman"/>
          <w:szCs w:val="24"/>
          <w:lang w:eastAsia="en-GB"/>
        </w:rPr>
        <w:t xml:space="preserve"> </w:t>
      </w:r>
      <w:r w:rsidR="007402EF">
        <w:rPr>
          <w:rFonts w:eastAsia="Times New Roman" w:cs="Times New Roman"/>
          <w:szCs w:val="24"/>
          <w:lang w:eastAsia="en-GB"/>
        </w:rPr>
        <w:t xml:space="preserve">deploy </w:t>
      </w:r>
      <w:r w:rsidR="007402EF" w:rsidRPr="00FA6FC0">
        <w:rPr>
          <w:rFonts w:eastAsia="Times New Roman" w:cs="Times New Roman"/>
          <w:szCs w:val="24"/>
          <w:lang w:eastAsia="en-GB"/>
        </w:rPr>
        <w:t>our</w:t>
      </w:r>
      <w:r w:rsidRPr="00FA6FC0">
        <w:rPr>
          <w:rFonts w:eastAsia="Times New Roman" w:cs="Times New Roman"/>
          <w:szCs w:val="24"/>
          <w:lang w:eastAsia="en-GB"/>
        </w:rPr>
        <w:t xml:space="preserve"> </w:t>
      </w:r>
      <w:r w:rsidR="001C345D">
        <w:rPr>
          <w:rFonts w:eastAsia="Times New Roman" w:cs="Times New Roman"/>
          <w:szCs w:val="24"/>
          <w:lang w:eastAsia="en-GB"/>
        </w:rPr>
        <w:t>officers and staff most effectively.</w:t>
      </w:r>
      <w:r>
        <w:rPr>
          <w:rFonts w:eastAsia="Times New Roman" w:cs="Times New Roman"/>
          <w:szCs w:val="24"/>
          <w:lang w:eastAsia="en-GB"/>
        </w:rPr>
        <w:t xml:space="preserve"> The project began in 2020/21 and will go live in 2021/22.</w:t>
      </w:r>
    </w:p>
    <w:p w14:paraId="6817BE1F" w14:textId="47DCD311" w:rsidR="00A44EA5" w:rsidRPr="00FA6FC0" w:rsidRDefault="00A44EA5" w:rsidP="00A44EA5">
      <w:pPr>
        <w:tabs>
          <w:tab w:val="left" w:pos="0"/>
        </w:tabs>
        <w:rPr>
          <w:rFonts w:eastAsia="Times New Roman" w:cs="Times New Roman"/>
          <w:szCs w:val="24"/>
          <w:lang w:eastAsia="en-GB"/>
        </w:rPr>
      </w:pPr>
      <w:r w:rsidRPr="00FA6FC0">
        <w:rPr>
          <w:rFonts w:eastAsia="Times New Roman" w:cs="Times New Roman"/>
          <w:szCs w:val="24"/>
          <w:lang w:eastAsia="en-GB"/>
        </w:rPr>
        <w:t xml:space="preserve">Supporting our people in their wellbeing; physically, emotionally, mentally and feeling engaged, </w:t>
      </w:r>
      <w:r>
        <w:rPr>
          <w:rFonts w:eastAsia="Times New Roman" w:cs="Times New Roman"/>
          <w:szCs w:val="24"/>
          <w:lang w:eastAsia="en-GB"/>
        </w:rPr>
        <w:t xml:space="preserve">was a high priority for my predecessor </w:t>
      </w:r>
      <w:r w:rsidR="007402EF">
        <w:rPr>
          <w:rFonts w:eastAsia="Times New Roman" w:cs="Times New Roman"/>
          <w:szCs w:val="24"/>
          <w:lang w:eastAsia="en-GB"/>
        </w:rPr>
        <w:t>and I</w:t>
      </w:r>
      <w:r>
        <w:rPr>
          <w:rFonts w:eastAsia="Times New Roman" w:cs="Times New Roman"/>
          <w:szCs w:val="24"/>
          <w:lang w:eastAsia="en-GB"/>
        </w:rPr>
        <w:t xml:space="preserve"> </w:t>
      </w:r>
      <w:r w:rsidR="001C345D">
        <w:rPr>
          <w:rFonts w:eastAsia="Times New Roman" w:cs="Times New Roman"/>
          <w:szCs w:val="24"/>
          <w:lang w:eastAsia="en-GB"/>
        </w:rPr>
        <w:t xml:space="preserve">agree that this should remain a high priority for the force. </w:t>
      </w:r>
      <w:r w:rsidRPr="00FA6FC0">
        <w:rPr>
          <w:rFonts w:eastAsia="Times New Roman" w:cs="Times New Roman"/>
          <w:szCs w:val="24"/>
          <w:lang w:eastAsia="en-GB"/>
        </w:rPr>
        <w:t xml:space="preserve"> </w:t>
      </w:r>
      <w:r>
        <w:rPr>
          <w:rFonts w:eastAsia="Times New Roman" w:cs="Times New Roman"/>
          <w:szCs w:val="24"/>
          <w:lang w:eastAsia="en-GB"/>
        </w:rPr>
        <w:t xml:space="preserve">2020/21 has been dominated by the Covid-19 global pandemic and I am proud to see that the wellbeing support provided to staff was of the </w:t>
      </w:r>
      <w:r w:rsidR="00BC6E16">
        <w:rPr>
          <w:rFonts w:eastAsia="Times New Roman" w:cs="Times New Roman"/>
          <w:szCs w:val="24"/>
          <w:lang w:eastAsia="en-GB"/>
        </w:rPr>
        <w:t xml:space="preserve">highest </w:t>
      </w:r>
      <w:r w:rsidR="007402EF">
        <w:rPr>
          <w:rFonts w:eastAsia="Times New Roman" w:cs="Times New Roman"/>
          <w:szCs w:val="24"/>
          <w:lang w:eastAsia="en-GB"/>
        </w:rPr>
        <w:t>standard.</w:t>
      </w:r>
      <w:r>
        <w:rPr>
          <w:rFonts w:eastAsia="Times New Roman" w:cs="Times New Roman"/>
          <w:szCs w:val="24"/>
          <w:lang w:eastAsia="en-GB"/>
        </w:rPr>
        <w:t xml:space="preserve"> Moving forward my vision is to have a healthy, happy, valued and engaged workforce.</w:t>
      </w:r>
    </w:p>
    <w:p w14:paraId="71E58B78" w14:textId="332BD745" w:rsidR="00A44EA5" w:rsidRPr="00FA6FC0" w:rsidRDefault="00A44EA5" w:rsidP="00A44EA5">
      <w:pPr>
        <w:tabs>
          <w:tab w:val="left" w:pos="0"/>
        </w:tabs>
        <w:rPr>
          <w:rFonts w:eastAsia="Times New Roman" w:cs="Times New Roman"/>
          <w:szCs w:val="24"/>
          <w:lang w:eastAsia="en-GB"/>
        </w:rPr>
      </w:pPr>
      <w:r w:rsidRPr="00FA6FC0">
        <w:rPr>
          <w:rFonts w:eastAsia="Times New Roman" w:cs="Times New Roman"/>
          <w:szCs w:val="24"/>
          <w:lang w:eastAsia="en-GB"/>
        </w:rPr>
        <w:lastRenderedPageBreak/>
        <w:t>A major IT project commenced in 2018/19 to replace the force’s Command and Control system with the latest technology which</w:t>
      </w:r>
      <w:r w:rsidR="00BC6E16">
        <w:rPr>
          <w:rFonts w:eastAsia="Times New Roman" w:cs="Times New Roman"/>
          <w:szCs w:val="24"/>
          <w:lang w:eastAsia="en-GB"/>
        </w:rPr>
        <w:t>,</w:t>
      </w:r>
      <w:r w:rsidRPr="00FA6FC0">
        <w:rPr>
          <w:rFonts w:eastAsia="Times New Roman" w:cs="Times New Roman"/>
          <w:szCs w:val="24"/>
          <w:lang w:eastAsia="en-GB"/>
        </w:rPr>
        <w:t xml:space="preserve"> together with a full review of our operational procedures in call handling, is expected to delivery significant efficiency savings and enhance our service to the public. This had been expected to be completed in 2019/20 but slippage in the programme and then the further impact of the Covid-19 pandemic means </w:t>
      </w:r>
      <w:r>
        <w:rPr>
          <w:rFonts w:eastAsia="Times New Roman" w:cs="Times New Roman"/>
          <w:szCs w:val="24"/>
          <w:lang w:eastAsia="en-GB"/>
        </w:rPr>
        <w:t xml:space="preserve">it </w:t>
      </w:r>
      <w:r w:rsidRPr="00FA6FC0">
        <w:rPr>
          <w:rFonts w:eastAsia="Times New Roman" w:cs="Times New Roman"/>
          <w:szCs w:val="24"/>
          <w:lang w:eastAsia="en-GB"/>
        </w:rPr>
        <w:t xml:space="preserve">will not be fully operational until </w:t>
      </w:r>
      <w:r>
        <w:rPr>
          <w:rFonts w:eastAsia="Times New Roman" w:cs="Times New Roman"/>
          <w:szCs w:val="24"/>
          <w:lang w:eastAsia="en-GB"/>
        </w:rPr>
        <w:t>late</w:t>
      </w:r>
      <w:r w:rsidRPr="00FA6FC0">
        <w:rPr>
          <w:rFonts w:eastAsia="Times New Roman" w:cs="Times New Roman"/>
          <w:szCs w:val="24"/>
          <w:lang w:eastAsia="en-GB"/>
        </w:rPr>
        <w:t xml:space="preserve"> 2021. </w:t>
      </w:r>
    </w:p>
    <w:p w14:paraId="0E245D21" w14:textId="77777777" w:rsidR="00A44EA5" w:rsidRDefault="00A44EA5" w:rsidP="00A44EA5">
      <w:pPr>
        <w:tabs>
          <w:tab w:val="left" w:pos="0"/>
        </w:tabs>
        <w:rPr>
          <w:rFonts w:eastAsia="Times New Roman" w:cs="Times New Roman"/>
          <w:szCs w:val="24"/>
          <w:lang w:eastAsia="en-GB"/>
        </w:rPr>
      </w:pPr>
      <w:r>
        <w:rPr>
          <w:rFonts w:eastAsia="Times New Roman" w:cs="Times New Roman"/>
          <w:szCs w:val="24"/>
          <w:lang w:eastAsia="en-GB"/>
        </w:rPr>
        <w:t xml:space="preserve">Following the successful ‘Make A Change’ project funded by the </w:t>
      </w:r>
      <w:r w:rsidRPr="00FA6FC0">
        <w:rPr>
          <w:rFonts w:eastAsia="Times New Roman" w:cs="Times New Roman"/>
          <w:szCs w:val="24"/>
          <w:lang w:eastAsia="en-GB"/>
        </w:rPr>
        <w:t>Police Transformation Fund</w:t>
      </w:r>
      <w:r>
        <w:rPr>
          <w:rFonts w:eastAsia="Times New Roman" w:cs="Times New Roman"/>
          <w:szCs w:val="24"/>
          <w:lang w:eastAsia="en-GB"/>
        </w:rPr>
        <w:t xml:space="preserve"> (</w:t>
      </w:r>
      <w:r w:rsidRPr="00FA6FC0">
        <w:rPr>
          <w:rFonts w:eastAsia="Times New Roman" w:cs="Times New Roman"/>
          <w:szCs w:val="24"/>
          <w:lang w:eastAsia="en-GB"/>
        </w:rPr>
        <w:t>£1.37</w:t>
      </w:r>
      <w:r>
        <w:rPr>
          <w:rFonts w:eastAsia="Times New Roman" w:cs="Times New Roman"/>
          <w:szCs w:val="24"/>
          <w:lang w:eastAsia="en-GB"/>
        </w:rPr>
        <w:t>m) in 2018/19 and 2019/20</w:t>
      </w:r>
      <w:r w:rsidRPr="00FA6FC0">
        <w:rPr>
          <w:rFonts w:eastAsia="Times New Roman" w:cs="Times New Roman"/>
          <w:szCs w:val="24"/>
          <w:lang w:eastAsia="en-GB"/>
        </w:rPr>
        <w:t xml:space="preserve">, to develop </w:t>
      </w:r>
      <w:r>
        <w:rPr>
          <w:rFonts w:eastAsia="Times New Roman" w:cs="Times New Roman"/>
          <w:szCs w:val="24"/>
          <w:lang w:eastAsia="en-GB"/>
        </w:rPr>
        <w:t>e</w:t>
      </w:r>
      <w:r w:rsidRPr="00FA6FC0">
        <w:rPr>
          <w:rFonts w:eastAsia="Times New Roman" w:cs="Times New Roman"/>
          <w:szCs w:val="24"/>
          <w:lang w:eastAsia="en-GB"/>
        </w:rPr>
        <w:t xml:space="preserve">arly </w:t>
      </w:r>
      <w:r>
        <w:rPr>
          <w:rFonts w:eastAsia="Times New Roman" w:cs="Times New Roman"/>
          <w:szCs w:val="24"/>
          <w:lang w:eastAsia="en-GB"/>
        </w:rPr>
        <w:t>i</w:t>
      </w:r>
      <w:r w:rsidRPr="00FA6FC0">
        <w:rPr>
          <w:rFonts w:eastAsia="Times New Roman" w:cs="Times New Roman"/>
          <w:szCs w:val="24"/>
          <w:lang w:eastAsia="en-GB"/>
        </w:rPr>
        <w:t xml:space="preserve">ntervention </w:t>
      </w:r>
      <w:r>
        <w:rPr>
          <w:rFonts w:eastAsia="Times New Roman" w:cs="Times New Roman"/>
          <w:szCs w:val="24"/>
          <w:lang w:eastAsia="en-GB"/>
        </w:rPr>
        <w:t>r</w:t>
      </w:r>
      <w:r w:rsidRPr="00FA6FC0">
        <w:rPr>
          <w:rFonts w:eastAsia="Times New Roman" w:cs="Times New Roman"/>
          <w:szCs w:val="24"/>
          <w:lang w:eastAsia="en-GB"/>
        </w:rPr>
        <w:t>esponse (EIR) to perpetrators of domestic abuse</w:t>
      </w:r>
      <w:r>
        <w:rPr>
          <w:rFonts w:eastAsia="Times New Roman" w:cs="Times New Roman"/>
          <w:szCs w:val="24"/>
          <w:lang w:eastAsia="en-GB"/>
        </w:rPr>
        <w:t xml:space="preserve">, the project has continued in 2020/21. Respect UK submitted a bid for National Lottery Community Funding to continue the project to 2022/23 and were successful. Lincolnshire Police and Lincolnshire County Council also contribute to the project. </w:t>
      </w:r>
    </w:p>
    <w:p w14:paraId="24156912" w14:textId="185CD65D" w:rsidR="00A44EA5" w:rsidRDefault="00A44EA5" w:rsidP="00A44EA5">
      <w:pPr>
        <w:tabs>
          <w:tab w:val="left" w:pos="0"/>
        </w:tabs>
        <w:rPr>
          <w:rFonts w:eastAsia="Times New Roman" w:cs="Times New Roman"/>
          <w:szCs w:val="24"/>
          <w:highlight w:val="yellow"/>
          <w:lang w:eastAsia="en-GB"/>
        </w:rPr>
      </w:pPr>
      <w:r>
        <w:rPr>
          <w:rFonts w:eastAsia="MS Mincho" w:cs="Arial"/>
          <w:color w:val="000000"/>
        </w:rPr>
        <w:t xml:space="preserve">The PCC took the </w:t>
      </w:r>
      <w:r w:rsidRPr="008C5A7A">
        <w:rPr>
          <w:rFonts w:eastAsia="MS Mincho" w:cs="Arial"/>
          <w:color w:val="000000"/>
        </w:rPr>
        <w:t xml:space="preserve">decision </w:t>
      </w:r>
      <w:r w:rsidR="001C345D">
        <w:rPr>
          <w:rFonts w:eastAsia="MS Mincho" w:cs="Arial"/>
          <w:color w:val="000000"/>
        </w:rPr>
        <w:t xml:space="preserve">in November 2021 </w:t>
      </w:r>
      <w:r w:rsidRPr="008C5A7A">
        <w:rPr>
          <w:rFonts w:eastAsia="MS Mincho" w:cs="Arial"/>
          <w:color w:val="000000"/>
        </w:rPr>
        <w:t>not to extend the contract between G4S and Lincolnshire Police for a further five years</w:t>
      </w:r>
      <w:r>
        <w:rPr>
          <w:rFonts w:eastAsia="MS Mincho" w:cs="Arial"/>
          <w:color w:val="000000"/>
        </w:rPr>
        <w:t xml:space="preserve"> from April 2022</w:t>
      </w:r>
      <w:r w:rsidRPr="008C5A7A">
        <w:rPr>
          <w:rFonts w:eastAsia="MS Mincho" w:cs="Arial"/>
          <w:color w:val="000000"/>
        </w:rPr>
        <w:t>. Th</w:t>
      </w:r>
      <w:r w:rsidR="003317CF">
        <w:rPr>
          <w:rFonts w:eastAsia="MS Mincho" w:cs="Arial"/>
          <w:color w:val="000000"/>
        </w:rPr>
        <w:t>is</w:t>
      </w:r>
      <w:r w:rsidRPr="008C5A7A">
        <w:rPr>
          <w:rFonts w:eastAsia="MS Mincho" w:cs="Arial"/>
          <w:color w:val="000000"/>
        </w:rPr>
        <w:t xml:space="preserve"> decision is part of </w:t>
      </w:r>
      <w:r>
        <w:rPr>
          <w:rFonts w:eastAsia="MS Mincho" w:cs="Arial"/>
          <w:color w:val="000000"/>
        </w:rPr>
        <w:t>the PCC’s</w:t>
      </w:r>
      <w:r w:rsidRPr="008C5A7A">
        <w:rPr>
          <w:rFonts w:eastAsia="MS Mincho" w:cs="Arial"/>
          <w:color w:val="000000"/>
        </w:rPr>
        <w:t xml:space="preserve"> strategy of providing the most efficient modern policing service in the UK with the flexibility </w:t>
      </w:r>
      <w:r w:rsidR="007402EF" w:rsidRPr="008C5A7A">
        <w:rPr>
          <w:rFonts w:eastAsia="MS Mincho" w:cs="Arial"/>
          <w:color w:val="000000"/>
        </w:rPr>
        <w:t xml:space="preserve">for </w:t>
      </w:r>
      <w:r w:rsidR="007402EF">
        <w:rPr>
          <w:rFonts w:eastAsia="MS Mincho" w:cs="Arial"/>
          <w:color w:val="000000"/>
        </w:rPr>
        <w:t>the</w:t>
      </w:r>
      <w:r w:rsidRPr="008C5A7A">
        <w:rPr>
          <w:rFonts w:eastAsia="MS Mincho" w:cs="Arial"/>
          <w:color w:val="000000"/>
        </w:rPr>
        <w:t xml:space="preserve"> Chief </w:t>
      </w:r>
      <w:r w:rsidR="003317CF">
        <w:rPr>
          <w:rFonts w:eastAsia="MS Mincho" w:cs="Arial"/>
          <w:color w:val="000000"/>
        </w:rPr>
        <w:t xml:space="preserve">Constable </w:t>
      </w:r>
      <w:r w:rsidRPr="008C5A7A">
        <w:rPr>
          <w:rFonts w:eastAsia="MS Mincho" w:cs="Arial"/>
          <w:color w:val="000000"/>
        </w:rPr>
        <w:t xml:space="preserve">to be able to deploy staff and develop services quickly and effectively. </w:t>
      </w:r>
      <w:r w:rsidR="003317CF">
        <w:rPr>
          <w:rFonts w:eastAsia="MS Mincho" w:cs="Arial"/>
          <w:color w:val="000000"/>
        </w:rPr>
        <w:t xml:space="preserve">I believe </w:t>
      </w:r>
      <w:r w:rsidR="007402EF">
        <w:rPr>
          <w:rFonts w:eastAsia="MS Mincho" w:cs="Arial"/>
          <w:color w:val="000000"/>
        </w:rPr>
        <w:t xml:space="preserve">this </w:t>
      </w:r>
      <w:r w:rsidR="007402EF" w:rsidRPr="008C5A7A">
        <w:rPr>
          <w:rFonts w:eastAsia="MS Mincho" w:cs="Arial"/>
          <w:color w:val="000000"/>
        </w:rPr>
        <w:t>will</w:t>
      </w:r>
      <w:r w:rsidRPr="008C5A7A">
        <w:rPr>
          <w:rFonts w:eastAsia="MS Mincho" w:cs="Arial"/>
          <w:color w:val="000000"/>
        </w:rPr>
        <w:t xml:space="preserve"> offer new opportunities to improve the services provided for the people of Lincolnshire ensur</w:t>
      </w:r>
      <w:r w:rsidR="003317CF">
        <w:rPr>
          <w:rFonts w:eastAsia="MS Mincho" w:cs="Arial"/>
          <w:color w:val="000000"/>
        </w:rPr>
        <w:t>ing that</w:t>
      </w:r>
      <w:r w:rsidRPr="008C5A7A">
        <w:rPr>
          <w:rFonts w:eastAsia="MS Mincho" w:cs="Arial"/>
          <w:color w:val="000000"/>
        </w:rPr>
        <w:t xml:space="preserve"> as much as possible is invested in front-line </w:t>
      </w:r>
      <w:r w:rsidR="003317CF">
        <w:rPr>
          <w:rFonts w:eastAsia="MS Mincho" w:cs="Arial"/>
          <w:color w:val="000000"/>
        </w:rPr>
        <w:t xml:space="preserve">services </w:t>
      </w:r>
      <w:r w:rsidRPr="008C5A7A">
        <w:rPr>
          <w:rFonts w:eastAsia="MS Mincho" w:cs="Arial"/>
          <w:color w:val="000000"/>
        </w:rPr>
        <w:t>and continu</w:t>
      </w:r>
      <w:r w:rsidR="003317CF">
        <w:rPr>
          <w:rFonts w:eastAsia="MS Mincho" w:cs="Arial"/>
          <w:color w:val="000000"/>
        </w:rPr>
        <w:t>ing</w:t>
      </w:r>
      <w:r w:rsidRPr="008C5A7A">
        <w:rPr>
          <w:rFonts w:eastAsia="MS Mincho" w:cs="Arial"/>
          <w:color w:val="000000"/>
        </w:rPr>
        <w:t xml:space="preserve"> the work to keep communities safe</w:t>
      </w:r>
      <w:r>
        <w:rPr>
          <w:rFonts w:eastAsia="MS Mincho" w:cs="Arial"/>
          <w:color w:val="000000"/>
        </w:rPr>
        <w:t xml:space="preserve">. </w:t>
      </w:r>
    </w:p>
    <w:p w14:paraId="646CA636" w14:textId="3DA14FF6" w:rsidR="00A44EA5" w:rsidRDefault="00A44EA5" w:rsidP="00A44EA5">
      <w:pPr>
        <w:rPr>
          <w:rFonts w:eastAsia="MS Mincho" w:cs="Arial"/>
          <w:color w:val="000000"/>
        </w:rPr>
      </w:pPr>
      <w:r>
        <w:rPr>
          <w:rFonts w:eastAsia="Times New Roman" w:cs="Times New Roman"/>
          <w:szCs w:val="24"/>
          <w:lang w:eastAsia="en-GB"/>
        </w:rPr>
        <w:t>The</w:t>
      </w:r>
      <w:r w:rsidRPr="00FA6FC0">
        <w:rPr>
          <w:rFonts w:eastAsia="Times New Roman" w:cs="Times New Roman"/>
          <w:szCs w:val="24"/>
          <w:lang w:eastAsia="en-GB"/>
        </w:rPr>
        <w:t xml:space="preserve"> aim for </w:t>
      </w:r>
      <w:r>
        <w:rPr>
          <w:rFonts w:eastAsia="Times New Roman" w:cs="Times New Roman"/>
          <w:szCs w:val="24"/>
          <w:lang w:eastAsia="en-GB"/>
        </w:rPr>
        <w:t>2020/21</w:t>
      </w:r>
      <w:r w:rsidRPr="00FA6FC0">
        <w:rPr>
          <w:rFonts w:eastAsia="Times New Roman" w:cs="Times New Roman"/>
          <w:szCs w:val="24"/>
          <w:lang w:eastAsia="en-GB"/>
        </w:rPr>
        <w:t xml:space="preserve"> </w:t>
      </w:r>
      <w:r w:rsidR="007402EF">
        <w:rPr>
          <w:rFonts w:eastAsia="Times New Roman" w:cs="Times New Roman"/>
          <w:szCs w:val="24"/>
          <w:lang w:eastAsia="en-GB"/>
        </w:rPr>
        <w:t xml:space="preserve">was </w:t>
      </w:r>
      <w:r w:rsidR="007402EF" w:rsidRPr="00FA6FC0">
        <w:rPr>
          <w:rFonts w:eastAsia="Times New Roman" w:cs="Times New Roman"/>
          <w:szCs w:val="24"/>
          <w:lang w:eastAsia="en-GB"/>
        </w:rPr>
        <w:t>to</w:t>
      </w:r>
      <w:r w:rsidRPr="00FA6FC0">
        <w:rPr>
          <w:rFonts w:eastAsia="Times New Roman" w:cs="Times New Roman"/>
          <w:szCs w:val="24"/>
          <w:lang w:eastAsia="en-GB"/>
        </w:rPr>
        <w:t xml:space="preserve"> spend </w:t>
      </w:r>
      <w:r>
        <w:rPr>
          <w:rFonts w:eastAsia="Times New Roman" w:cs="Times New Roman"/>
          <w:szCs w:val="24"/>
          <w:lang w:eastAsia="en-GB"/>
        </w:rPr>
        <w:t>the CC’s</w:t>
      </w:r>
      <w:r w:rsidRPr="00FA6FC0">
        <w:rPr>
          <w:rFonts w:eastAsia="Times New Roman" w:cs="Times New Roman"/>
          <w:szCs w:val="24"/>
          <w:lang w:eastAsia="en-GB"/>
        </w:rPr>
        <w:t xml:space="preserve"> delegated budget </w:t>
      </w:r>
      <w:proofErr w:type="gramStart"/>
      <w:r>
        <w:rPr>
          <w:rFonts w:eastAsia="Times New Roman" w:cs="Times New Roman"/>
          <w:szCs w:val="24"/>
          <w:lang w:eastAsia="en-GB"/>
        </w:rPr>
        <w:t xml:space="preserve">in order </w:t>
      </w:r>
      <w:r w:rsidRPr="00FA6FC0">
        <w:rPr>
          <w:rFonts w:eastAsia="Times New Roman" w:cs="Times New Roman"/>
          <w:szCs w:val="24"/>
          <w:lang w:eastAsia="en-GB"/>
        </w:rPr>
        <w:t>to</w:t>
      </w:r>
      <w:proofErr w:type="gramEnd"/>
      <w:r w:rsidRPr="00FA6FC0">
        <w:rPr>
          <w:rFonts w:eastAsia="Times New Roman" w:cs="Times New Roman"/>
          <w:szCs w:val="24"/>
          <w:lang w:eastAsia="en-GB"/>
        </w:rPr>
        <w:t xml:space="preserve"> deliver effective policing to the public of Lincolnshire. </w:t>
      </w:r>
      <w:r w:rsidRPr="00474F6A">
        <w:rPr>
          <w:rFonts w:eastAsia="MS Mincho" w:cs="Arial"/>
          <w:color w:val="000000"/>
        </w:rPr>
        <w:t xml:space="preserve">In July 2019 the Government announced a funded national uplift in police officer numbers, 20,000 over the next three years. Lincolnshire’s allocation in the first tranche of the uplift was 50 officers by March 2021, this has been achieved. The tranche </w:t>
      </w:r>
      <w:r>
        <w:rPr>
          <w:rFonts w:eastAsia="MS Mincho" w:cs="Arial"/>
          <w:color w:val="000000"/>
        </w:rPr>
        <w:t>two</w:t>
      </w:r>
      <w:r w:rsidRPr="00474F6A">
        <w:rPr>
          <w:rFonts w:eastAsia="MS Mincho" w:cs="Arial"/>
          <w:color w:val="000000"/>
        </w:rPr>
        <w:t xml:space="preserve"> allocation is 49 officers by March 2022, and </w:t>
      </w:r>
      <w:r>
        <w:rPr>
          <w:rFonts w:eastAsia="MS Mincho" w:cs="Arial"/>
          <w:color w:val="000000"/>
        </w:rPr>
        <w:t>the PCC is</w:t>
      </w:r>
      <w:r w:rsidRPr="00474F6A">
        <w:rPr>
          <w:rFonts w:eastAsia="MS Mincho" w:cs="Arial"/>
          <w:color w:val="000000"/>
        </w:rPr>
        <w:t xml:space="preserve"> providing one off funding to bring forward recruitment from future years into 2021/22 in anticipation of tranche three.</w:t>
      </w:r>
      <w:r>
        <w:rPr>
          <w:rFonts w:eastAsia="MS Mincho" w:cs="Arial"/>
          <w:color w:val="000000"/>
        </w:rPr>
        <w:t xml:space="preserve"> </w:t>
      </w:r>
    </w:p>
    <w:p w14:paraId="37315B2E" w14:textId="77777777" w:rsidR="00A44EA5" w:rsidRPr="00FA6FC0" w:rsidRDefault="00A44EA5" w:rsidP="00A44EA5">
      <w:pPr>
        <w:tabs>
          <w:tab w:val="left" w:pos="0"/>
        </w:tabs>
        <w:rPr>
          <w:rFonts w:eastAsia="Times New Roman" w:cs="Times New Roman"/>
          <w:szCs w:val="24"/>
          <w:lang w:eastAsia="en-GB"/>
        </w:rPr>
      </w:pPr>
      <w:r w:rsidRPr="00FA6FC0">
        <w:rPr>
          <w:rFonts w:eastAsia="Times New Roman" w:cs="Times New Roman"/>
          <w:szCs w:val="24"/>
          <w:lang w:eastAsia="en-GB"/>
        </w:rPr>
        <w:t xml:space="preserve">All the financial transactions for </w:t>
      </w:r>
      <w:r>
        <w:rPr>
          <w:rFonts w:eastAsia="Times New Roman" w:cs="Times New Roman"/>
          <w:szCs w:val="24"/>
          <w:lang w:eastAsia="en-GB"/>
        </w:rPr>
        <w:t>2020/21</w:t>
      </w:r>
      <w:r w:rsidRPr="00FA6FC0">
        <w:rPr>
          <w:rFonts w:eastAsia="Times New Roman" w:cs="Times New Roman"/>
          <w:szCs w:val="24"/>
          <w:lang w:eastAsia="en-GB"/>
        </w:rPr>
        <w:t xml:space="preserve">, relating to the activities of the Chief Constable in accordance with the delegated arrangements agreed by the PCC, are recognised and recorded in these financial statements.  </w:t>
      </w:r>
      <w:proofErr w:type="gramStart"/>
      <w:r w:rsidRPr="00FA6FC0">
        <w:rPr>
          <w:rFonts w:eastAsia="Times New Roman" w:cs="Times New Roman"/>
          <w:szCs w:val="24"/>
          <w:lang w:eastAsia="en-GB"/>
        </w:rPr>
        <w:t>In order to</w:t>
      </w:r>
      <w:proofErr w:type="gramEnd"/>
      <w:r w:rsidRPr="00FA6FC0">
        <w:rPr>
          <w:rFonts w:eastAsia="Times New Roman" w:cs="Times New Roman"/>
          <w:szCs w:val="24"/>
          <w:lang w:eastAsia="en-GB"/>
        </w:rPr>
        <w:t xml:space="preserve"> comply with accounting requirements, all the main accounting statements are presented even where there are few transactions to report.  The Statement of Accounts sets out the financial performance and financial position of the Chief Constable as </w:t>
      </w:r>
      <w:proofErr w:type="gramStart"/>
      <w:r w:rsidRPr="00FA6FC0">
        <w:rPr>
          <w:rFonts w:eastAsia="Times New Roman" w:cs="Times New Roman"/>
          <w:szCs w:val="24"/>
          <w:lang w:eastAsia="en-GB"/>
        </w:rPr>
        <w:t>at</w:t>
      </w:r>
      <w:proofErr w:type="gramEnd"/>
      <w:r w:rsidRPr="00FA6FC0">
        <w:rPr>
          <w:rFonts w:eastAsia="Times New Roman" w:cs="Times New Roman"/>
          <w:szCs w:val="24"/>
          <w:lang w:eastAsia="en-GB"/>
        </w:rPr>
        <w:t xml:space="preserve"> 31 March 202</w:t>
      </w:r>
      <w:r>
        <w:rPr>
          <w:rFonts w:eastAsia="Times New Roman" w:cs="Times New Roman"/>
          <w:szCs w:val="24"/>
          <w:lang w:eastAsia="en-GB"/>
        </w:rPr>
        <w:t>1</w:t>
      </w:r>
      <w:r w:rsidRPr="00FA6FC0">
        <w:rPr>
          <w:rFonts w:eastAsia="Times New Roman" w:cs="Times New Roman"/>
          <w:szCs w:val="24"/>
          <w:lang w:eastAsia="en-GB"/>
        </w:rPr>
        <w:t>.</w:t>
      </w:r>
    </w:p>
    <w:p w14:paraId="7B83CD52" w14:textId="77777777" w:rsidR="00A44EA5" w:rsidRPr="00FA6FC0" w:rsidRDefault="00A44EA5" w:rsidP="00A44EA5">
      <w:pPr>
        <w:keepNext/>
        <w:tabs>
          <w:tab w:val="left" w:pos="0"/>
        </w:tabs>
        <w:spacing w:before="120" w:after="120"/>
        <w:outlineLvl w:val="3"/>
        <w:rPr>
          <w:rFonts w:eastAsia="Times New Roman" w:cs="Arial"/>
          <w:b/>
          <w:szCs w:val="20"/>
          <w:lang w:eastAsia="en-GB"/>
        </w:rPr>
      </w:pPr>
      <w:r w:rsidRPr="00FA6FC0">
        <w:rPr>
          <w:rFonts w:eastAsia="Times New Roman" w:cs="Arial"/>
          <w:b/>
          <w:szCs w:val="20"/>
          <w:lang w:eastAsia="en-GB"/>
        </w:rPr>
        <w:t>Roles and Responsibilities</w:t>
      </w:r>
    </w:p>
    <w:p w14:paraId="0A68CC49" w14:textId="77777777" w:rsidR="00A44EA5" w:rsidRPr="00FA6FC0" w:rsidRDefault="00A44EA5" w:rsidP="00A44EA5">
      <w:pPr>
        <w:tabs>
          <w:tab w:val="left" w:pos="0"/>
        </w:tabs>
        <w:rPr>
          <w:rFonts w:eastAsia="Times New Roman" w:cs="Times New Roman"/>
          <w:szCs w:val="24"/>
          <w:lang w:eastAsia="en-GB"/>
        </w:rPr>
      </w:pPr>
      <w:r w:rsidRPr="00FA6FC0">
        <w:rPr>
          <w:rFonts w:eastAsia="Times New Roman" w:cs="Times New Roman"/>
          <w:szCs w:val="24"/>
          <w:lang w:eastAsia="en-GB"/>
        </w:rPr>
        <w:t xml:space="preserve">The Commissioner and the Chief Constable have specific roles and responsibilities as determined under the Police Reform and Social Responsibility Act 2011.  The Commissioner provides a link between the police and the community, he sets out the strategic policing and crime priorities and objectives through the publication of a Police and Crime Plan </w:t>
      </w:r>
      <w:proofErr w:type="gramStart"/>
      <w:r w:rsidRPr="00FA6FC0">
        <w:rPr>
          <w:rFonts w:eastAsia="Times New Roman" w:cs="Times New Roman"/>
          <w:szCs w:val="24"/>
          <w:lang w:eastAsia="en-GB"/>
        </w:rPr>
        <w:t>and also</w:t>
      </w:r>
      <w:proofErr w:type="gramEnd"/>
      <w:r w:rsidRPr="00FA6FC0">
        <w:rPr>
          <w:rFonts w:eastAsia="Times New Roman" w:cs="Times New Roman"/>
          <w:szCs w:val="24"/>
          <w:lang w:eastAsia="en-GB"/>
        </w:rPr>
        <w:t xml:space="preserve"> sets the policing and crime precept.  The Chief Constable is operationally independent of the Commissioner but must have regard to the Commissioner’s Police and Crime Plan.</w:t>
      </w:r>
    </w:p>
    <w:p w14:paraId="7171CBFB" w14:textId="77777777" w:rsidR="00A44EA5" w:rsidRPr="00FA6FC0" w:rsidRDefault="00A44EA5" w:rsidP="00A44EA5">
      <w:pPr>
        <w:tabs>
          <w:tab w:val="left" w:pos="0"/>
        </w:tabs>
        <w:rPr>
          <w:rFonts w:eastAsia="Times New Roman" w:cs="Times New Roman"/>
          <w:szCs w:val="24"/>
          <w:lang w:eastAsia="en-GB"/>
        </w:rPr>
      </w:pPr>
      <w:r w:rsidRPr="00FA6FC0">
        <w:rPr>
          <w:rFonts w:eastAsia="Times New Roman" w:cs="Times New Roman"/>
          <w:szCs w:val="24"/>
          <w:lang w:eastAsia="en-GB"/>
        </w:rPr>
        <w:t>The Chief Constable has direction and control over the force’s police officers and staff.  Under the Integrated Scheme of Governance, the Chief Constable has certain specific delegated powers which are set out in the Scheme of Consent and Scheme of Delegation.</w:t>
      </w:r>
    </w:p>
    <w:p w14:paraId="35AB569E" w14:textId="05B81837" w:rsidR="00A44EA5" w:rsidRPr="00FA6FC0" w:rsidRDefault="00A44EA5" w:rsidP="00A44EA5">
      <w:pPr>
        <w:tabs>
          <w:tab w:val="left" w:pos="0"/>
        </w:tabs>
        <w:rPr>
          <w:rFonts w:eastAsia="Times New Roman" w:cs="Times New Roman"/>
          <w:szCs w:val="24"/>
          <w:lang w:eastAsia="en-GB"/>
        </w:rPr>
      </w:pPr>
      <w:r>
        <w:rPr>
          <w:rFonts w:eastAsia="Times New Roman" w:cs="Times New Roman"/>
          <w:szCs w:val="24"/>
          <w:lang w:eastAsia="en-GB"/>
        </w:rPr>
        <w:t>During 2020/21 t</w:t>
      </w:r>
      <w:r w:rsidRPr="00FA6FC0">
        <w:rPr>
          <w:rFonts w:eastAsia="Times New Roman" w:cs="Times New Roman"/>
          <w:szCs w:val="24"/>
          <w:lang w:eastAsia="en-GB"/>
        </w:rPr>
        <w:t>he organisation consist</w:t>
      </w:r>
      <w:r>
        <w:rPr>
          <w:rFonts w:eastAsia="Times New Roman" w:cs="Times New Roman"/>
          <w:szCs w:val="24"/>
          <w:lang w:eastAsia="en-GB"/>
        </w:rPr>
        <w:t>ed</w:t>
      </w:r>
      <w:r w:rsidRPr="00FA6FC0">
        <w:rPr>
          <w:rFonts w:eastAsia="Times New Roman" w:cs="Times New Roman"/>
          <w:szCs w:val="24"/>
          <w:lang w:eastAsia="en-GB"/>
        </w:rPr>
        <w:t xml:space="preserve"> of three distinct areas of operational command led by Chief Superintendents:</w:t>
      </w:r>
    </w:p>
    <w:p w14:paraId="0926BDC0" w14:textId="77777777" w:rsidR="00A44EA5" w:rsidRPr="00FA6FC0" w:rsidRDefault="00A44EA5" w:rsidP="00A44EA5">
      <w:pPr>
        <w:numPr>
          <w:ilvl w:val="0"/>
          <w:numId w:val="12"/>
        </w:numPr>
        <w:tabs>
          <w:tab w:val="left" w:pos="0"/>
        </w:tabs>
        <w:spacing w:before="120" w:after="120"/>
        <w:ind w:left="709" w:hanging="284"/>
        <w:rPr>
          <w:rFonts w:eastAsia="Times New Roman" w:cs="Times New Roman"/>
          <w:szCs w:val="24"/>
          <w:lang w:eastAsia="en-GB"/>
        </w:rPr>
      </w:pPr>
      <w:proofErr w:type="gramStart"/>
      <w:r w:rsidRPr="00FA6FC0">
        <w:rPr>
          <w:rFonts w:eastAsia="Times New Roman" w:cs="Times New Roman"/>
          <w:szCs w:val="24"/>
          <w:lang w:eastAsia="en-GB"/>
        </w:rPr>
        <w:t>East  -</w:t>
      </w:r>
      <w:proofErr w:type="gramEnd"/>
      <w:r w:rsidRPr="00FA6FC0">
        <w:rPr>
          <w:rFonts w:eastAsia="Times New Roman" w:cs="Times New Roman"/>
          <w:szCs w:val="24"/>
          <w:lang w:eastAsia="en-GB"/>
        </w:rPr>
        <w:t xml:space="preserve"> Local Policing and Investigation;</w:t>
      </w:r>
    </w:p>
    <w:p w14:paraId="2E4A13C4" w14:textId="77777777" w:rsidR="00A44EA5" w:rsidRPr="00FA6FC0" w:rsidRDefault="00A44EA5" w:rsidP="00A44EA5">
      <w:pPr>
        <w:numPr>
          <w:ilvl w:val="0"/>
          <w:numId w:val="12"/>
        </w:numPr>
        <w:tabs>
          <w:tab w:val="left" w:pos="0"/>
        </w:tabs>
        <w:spacing w:before="120" w:after="120"/>
        <w:ind w:left="709" w:hanging="284"/>
        <w:rPr>
          <w:rFonts w:eastAsia="Times New Roman" w:cs="Times New Roman"/>
          <w:szCs w:val="24"/>
          <w:lang w:eastAsia="en-GB"/>
        </w:rPr>
      </w:pPr>
      <w:r w:rsidRPr="00FA6FC0">
        <w:rPr>
          <w:rFonts w:eastAsia="Times New Roman" w:cs="Times New Roman"/>
          <w:szCs w:val="24"/>
          <w:lang w:eastAsia="en-GB"/>
        </w:rPr>
        <w:lastRenderedPageBreak/>
        <w:t xml:space="preserve">West - Local Policing and </w:t>
      </w:r>
      <w:proofErr w:type="gramStart"/>
      <w:r w:rsidRPr="00FA6FC0">
        <w:rPr>
          <w:rFonts w:eastAsia="Times New Roman" w:cs="Times New Roman"/>
          <w:szCs w:val="24"/>
          <w:lang w:eastAsia="en-GB"/>
        </w:rPr>
        <w:t>Investigation;</w:t>
      </w:r>
      <w:proofErr w:type="gramEnd"/>
    </w:p>
    <w:p w14:paraId="6AE515B3" w14:textId="77777777" w:rsidR="00A44EA5" w:rsidRPr="00FA6FC0" w:rsidRDefault="00A44EA5" w:rsidP="00A44EA5">
      <w:pPr>
        <w:numPr>
          <w:ilvl w:val="0"/>
          <w:numId w:val="12"/>
        </w:numPr>
        <w:tabs>
          <w:tab w:val="left" w:pos="0"/>
        </w:tabs>
        <w:spacing w:before="120" w:after="120"/>
        <w:ind w:left="709" w:hanging="284"/>
        <w:rPr>
          <w:rFonts w:eastAsia="Times New Roman" w:cs="Times New Roman"/>
          <w:szCs w:val="24"/>
          <w:lang w:eastAsia="en-GB"/>
        </w:rPr>
      </w:pPr>
      <w:r w:rsidRPr="00FA6FC0">
        <w:rPr>
          <w:rFonts w:eastAsia="Times New Roman" w:cs="Times New Roman"/>
          <w:szCs w:val="24"/>
          <w:lang w:eastAsia="en-GB"/>
        </w:rPr>
        <w:t>Crime &amp; Operations - responsible for specialised services such as Public Protection, Roads Policing and Criminal Justice.</w:t>
      </w:r>
    </w:p>
    <w:p w14:paraId="717E6983" w14:textId="77777777" w:rsidR="00A44EA5" w:rsidRDefault="00A44EA5" w:rsidP="00A44EA5">
      <w:pPr>
        <w:tabs>
          <w:tab w:val="left" w:pos="0"/>
        </w:tabs>
        <w:rPr>
          <w:rFonts w:eastAsia="Times New Roman" w:cs="Times New Roman"/>
          <w:szCs w:val="24"/>
          <w:lang w:eastAsia="en-GB"/>
        </w:rPr>
      </w:pPr>
      <w:r>
        <w:rPr>
          <w:rFonts w:eastAsia="Times New Roman" w:cs="Times New Roman"/>
          <w:szCs w:val="24"/>
          <w:lang w:eastAsia="en-GB"/>
        </w:rPr>
        <w:t>The structure will be reviewed for 2021/22.</w:t>
      </w:r>
    </w:p>
    <w:p w14:paraId="19A2BF9A" w14:textId="3406167B" w:rsidR="00A44EA5" w:rsidRPr="00FA6FC0" w:rsidRDefault="00A44EA5" w:rsidP="00A44EA5">
      <w:pPr>
        <w:tabs>
          <w:tab w:val="left" w:pos="0"/>
        </w:tabs>
        <w:rPr>
          <w:rFonts w:eastAsia="Times New Roman" w:cs="Times New Roman"/>
          <w:szCs w:val="24"/>
          <w:lang w:eastAsia="en-GB"/>
        </w:rPr>
      </w:pPr>
      <w:r w:rsidRPr="00A44EA5">
        <w:rPr>
          <w:rFonts w:eastAsia="Times New Roman" w:cs="Times New Roman"/>
          <w:szCs w:val="24"/>
          <w:lang w:eastAsia="en-GB"/>
        </w:rPr>
        <w:t>The strategic partnership contract with G4S provides a wide range of operational policing and support functions to the Chief Constable. The contract is held by the PCC, so these costs are not included in the Chief Constable’s financial statements. The operational policing services include Town Enquiry Officers, the Force Control Room, the Crime Management Bureau, Custody, the Criminal Justice Unit and Firearms Licensing. The cost of these services was £</w:t>
      </w:r>
      <w:r w:rsidRPr="00A44EA5">
        <w:rPr>
          <w:rFonts w:eastAsia="Times New Roman" w:cs="Times New Roman"/>
          <w:color w:val="000000"/>
          <w:szCs w:val="24"/>
          <w:lang w:eastAsia="en-GB"/>
        </w:rPr>
        <w:t xml:space="preserve">10.3m </w:t>
      </w:r>
      <w:r w:rsidRPr="00A44EA5">
        <w:rPr>
          <w:rFonts w:eastAsia="Times New Roman" w:cs="Times New Roman"/>
          <w:szCs w:val="24"/>
          <w:lang w:eastAsia="en-GB"/>
        </w:rPr>
        <w:t>in 2020/21. The support functions provided within the contract include HR, Learning &amp; Development, Finance, ICT and Facilities Management. The cost of these services in 2020/21 was £</w:t>
      </w:r>
      <w:r w:rsidRPr="00A44EA5">
        <w:rPr>
          <w:rFonts w:eastAsia="Times New Roman" w:cs="Times New Roman"/>
          <w:color w:val="000000"/>
          <w:szCs w:val="24"/>
          <w:lang w:eastAsia="en-GB"/>
        </w:rPr>
        <w:t>12.5m</w:t>
      </w:r>
      <w:r w:rsidRPr="00A44EA5">
        <w:rPr>
          <w:rFonts w:eastAsia="Times New Roman" w:cs="Times New Roman"/>
          <w:szCs w:val="24"/>
          <w:lang w:eastAsia="en-GB"/>
        </w:rPr>
        <w:t>. 2021/22 is the final year of the G4S contract.</w:t>
      </w:r>
    </w:p>
    <w:p w14:paraId="139D37E9" w14:textId="77777777" w:rsidR="00A44EA5" w:rsidRPr="00FA6FC0" w:rsidRDefault="00A44EA5" w:rsidP="00A44EA5">
      <w:pPr>
        <w:tabs>
          <w:tab w:val="left" w:pos="0"/>
        </w:tabs>
        <w:rPr>
          <w:rFonts w:eastAsia="Times New Roman" w:cs="Times New Roman"/>
          <w:szCs w:val="24"/>
          <w:lang w:eastAsia="en-GB"/>
        </w:rPr>
      </w:pPr>
      <w:r w:rsidRPr="00FA6FC0">
        <w:rPr>
          <w:rFonts w:eastAsia="Times New Roman" w:cs="Times New Roman"/>
          <w:szCs w:val="24"/>
          <w:lang w:eastAsia="en-GB"/>
        </w:rPr>
        <w:t xml:space="preserve">In addition, the Force undertakes the provision of specialised policing services through regional collaboration with neighbouring forces in the East Midlands. This includes the East Midlands Special Operations Unit (EMSOU), East Midlands Criminal Justice Services (EMCJS) and East Midlands Police Legal Services (EMPLS). </w:t>
      </w:r>
    </w:p>
    <w:p w14:paraId="1176ABA1" w14:textId="77777777" w:rsidR="00A44EA5" w:rsidRPr="00FA6FC0" w:rsidRDefault="00A44EA5" w:rsidP="00A44EA5">
      <w:pPr>
        <w:tabs>
          <w:tab w:val="left" w:pos="0"/>
        </w:tabs>
        <w:rPr>
          <w:rFonts w:eastAsia="Times New Roman" w:cs="Times New Roman"/>
          <w:szCs w:val="24"/>
          <w:lang w:eastAsia="en-GB"/>
        </w:rPr>
      </w:pPr>
      <w:r w:rsidRPr="00FA6FC0">
        <w:rPr>
          <w:rFonts w:eastAsia="Times New Roman" w:cs="Times New Roman"/>
          <w:szCs w:val="24"/>
          <w:lang w:eastAsia="en-GB"/>
        </w:rPr>
        <w:t>The Chief Officers of Lincolnshire Police on 31 March 202</w:t>
      </w:r>
      <w:r>
        <w:rPr>
          <w:rFonts w:eastAsia="Times New Roman" w:cs="Times New Roman"/>
          <w:szCs w:val="24"/>
          <w:lang w:eastAsia="en-GB"/>
        </w:rPr>
        <w:t>1</w:t>
      </w:r>
      <w:r w:rsidRPr="00FA6FC0">
        <w:rPr>
          <w:rFonts w:eastAsia="Times New Roman" w:cs="Times New Roman"/>
          <w:szCs w:val="24"/>
          <w:lang w:eastAsia="en-GB"/>
        </w:rPr>
        <w:t xml:space="preserve"> were:</w:t>
      </w:r>
    </w:p>
    <w:tbl>
      <w:tblPr>
        <w:tblW w:w="7263" w:type="dxa"/>
        <w:tblInd w:w="392" w:type="dxa"/>
        <w:tblLook w:val="0000" w:firstRow="0" w:lastRow="0" w:firstColumn="0" w:lastColumn="0" w:noHBand="0" w:noVBand="0"/>
      </w:tblPr>
      <w:tblGrid>
        <w:gridCol w:w="2836"/>
        <w:gridCol w:w="4427"/>
      </w:tblGrid>
      <w:tr w:rsidR="00A44EA5" w:rsidRPr="00FA6FC0" w14:paraId="2C4CD34A" w14:textId="77777777" w:rsidTr="00344E2B">
        <w:tc>
          <w:tcPr>
            <w:tcW w:w="2836" w:type="dxa"/>
          </w:tcPr>
          <w:p w14:paraId="10A30BFE" w14:textId="77777777" w:rsidR="00A44EA5" w:rsidRPr="00FA6FC0" w:rsidRDefault="00A44EA5" w:rsidP="00344E2B">
            <w:pPr>
              <w:tabs>
                <w:tab w:val="left" w:pos="-108"/>
              </w:tabs>
              <w:spacing w:before="120" w:after="120"/>
              <w:rPr>
                <w:rFonts w:eastAsia="Times New Roman" w:cs="Times New Roman"/>
                <w:szCs w:val="24"/>
                <w:lang w:val="de-DE" w:eastAsia="en-GB"/>
              </w:rPr>
            </w:pPr>
            <w:r>
              <w:rPr>
                <w:rFonts w:eastAsia="Times New Roman" w:cs="Times New Roman"/>
                <w:szCs w:val="24"/>
                <w:lang w:val="de-DE" w:eastAsia="en-GB"/>
              </w:rPr>
              <w:t>Chris Haward</w:t>
            </w:r>
            <w:r w:rsidRPr="00FA6FC0">
              <w:rPr>
                <w:rFonts w:eastAsia="Times New Roman" w:cs="Times New Roman"/>
                <w:szCs w:val="24"/>
                <w:lang w:val="de-DE" w:eastAsia="en-GB"/>
              </w:rPr>
              <w:tab/>
            </w:r>
          </w:p>
        </w:tc>
        <w:tc>
          <w:tcPr>
            <w:tcW w:w="4427" w:type="dxa"/>
          </w:tcPr>
          <w:p w14:paraId="5A0FD435" w14:textId="77777777" w:rsidR="00A44EA5" w:rsidRPr="00FA6FC0" w:rsidRDefault="00A44EA5" w:rsidP="00344E2B">
            <w:pPr>
              <w:tabs>
                <w:tab w:val="left" w:pos="0"/>
              </w:tabs>
              <w:spacing w:before="120" w:after="120"/>
              <w:rPr>
                <w:rFonts w:eastAsia="Times New Roman" w:cs="Times New Roman"/>
                <w:szCs w:val="24"/>
                <w:lang w:eastAsia="en-GB"/>
              </w:rPr>
            </w:pPr>
            <w:r w:rsidRPr="00FA6FC0">
              <w:rPr>
                <w:rFonts w:eastAsia="Times New Roman" w:cs="Times New Roman"/>
                <w:szCs w:val="24"/>
                <w:lang w:eastAsia="en-GB"/>
              </w:rPr>
              <w:t>Chief Constable</w:t>
            </w:r>
          </w:p>
        </w:tc>
      </w:tr>
      <w:tr w:rsidR="00A44EA5" w:rsidRPr="00FA6FC0" w14:paraId="3EF1926D" w14:textId="77777777" w:rsidTr="00344E2B">
        <w:tc>
          <w:tcPr>
            <w:tcW w:w="2836" w:type="dxa"/>
          </w:tcPr>
          <w:p w14:paraId="1A529627" w14:textId="77777777" w:rsidR="00A44EA5" w:rsidRPr="00FA6FC0" w:rsidRDefault="00A44EA5" w:rsidP="00344E2B">
            <w:pPr>
              <w:tabs>
                <w:tab w:val="left" w:pos="0"/>
              </w:tabs>
              <w:spacing w:before="120" w:after="120"/>
              <w:rPr>
                <w:rFonts w:eastAsia="Times New Roman" w:cs="Times New Roman"/>
                <w:szCs w:val="24"/>
                <w:lang w:val="de-DE" w:eastAsia="en-GB"/>
              </w:rPr>
            </w:pPr>
            <w:r w:rsidRPr="00FA6FC0">
              <w:rPr>
                <w:rFonts w:eastAsia="Times New Roman" w:cs="Times New Roman"/>
                <w:szCs w:val="24"/>
                <w:lang w:val="de-DE" w:eastAsia="en-GB"/>
              </w:rPr>
              <w:t>Jason Harwin</w:t>
            </w:r>
            <w:r w:rsidRPr="00FA6FC0">
              <w:rPr>
                <w:rFonts w:eastAsia="Times New Roman" w:cs="Times New Roman"/>
                <w:szCs w:val="24"/>
                <w:lang w:val="de-DE" w:eastAsia="en-GB"/>
              </w:rPr>
              <w:tab/>
            </w:r>
          </w:p>
        </w:tc>
        <w:tc>
          <w:tcPr>
            <w:tcW w:w="4427" w:type="dxa"/>
          </w:tcPr>
          <w:p w14:paraId="6D570898" w14:textId="77777777" w:rsidR="00A44EA5" w:rsidRPr="00FA6FC0" w:rsidRDefault="00A44EA5" w:rsidP="00344E2B">
            <w:pPr>
              <w:tabs>
                <w:tab w:val="left" w:pos="0"/>
              </w:tabs>
              <w:spacing w:before="120" w:after="120"/>
              <w:rPr>
                <w:rFonts w:eastAsia="Times New Roman" w:cs="Times New Roman"/>
                <w:szCs w:val="24"/>
                <w:lang w:eastAsia="en-GB"/>
              </w:rPr>
            </w:pPr>
            <w:r w:rsidRPr="00FA6FC0">
              <w:rPr>
                <w:rFonts w:eastAsia="Times New Roman" w:cs="Times New Roman"/>
                <w:szCs w:val="24"/>
                <w:lang w:eastAsia="en-GB"/>
              </w:rPr>
              <w:t>Deputy Chief Constable</w:t>
            </w:r>
          </w:p>
        </w:tc>
      </w:tr>
      <w:tr w:rsidR="00A44EA5" w:rsidRPr="00FA6FC0" w14:paraId="0B98CA3E" w14:textId="77777777" w:rsidTr="00344E2B">
        <w:tc>
          <w:tcPr>
            <w:tcW w:w="2836" w:type="dxa"/>
          </w:tcPr>
          <w:p w14:paraId="548B25F4" w14:textId="77777777" w:rsidR="00A44EA5" w:rsidRPr="00FA6FC0" w:rsidRDefault="00A44EA5" w:rsidP="00344E2B">
            <w:pPr>
              <w:tabs>
                <w:tab w:val="left" w:pos="0"/>
              </w:tabs>
              <w:spacing w:before="120" w:after="120"/>
              <w:rPr>
                <w:rFonts w:eastAsia="Times New Roman" w:cs="Times New Roman"/>
                <w:szCs w:val="24"/>
                <w:lang w:val="de-DE" w:eastAsia="en-GB"/>
              </w:rPr>
            </w:pPr>
            <w:r w:rsidRPr="00FA6FC0">
              <w:rPr>
                <w:rFonts w:eastAsia="Times New Roman" w:cs="Times New Roman"/>
                <w:szCs w:val="24"/>
                <w:lang w:val="de-DE" w:eastAsia="en-GB"/>
              </w:rPr>
              <w:t>Kerrin Wilson</w:t>
            </w:r>
          </w:p>
        </w:tc>
        <w:tc>
          <w:tcPr>
            <w:tcW w:w="4427" w:type="dxa"/>
          </w:tcPr>
          <w:p w14:paraId="793BF0FB" w14:textId="77777777" w:rsidR="00A44EA5" w:rsidRPr="00FA6FC0" w:rsidRDefault="00A44EA5" w:rsidP="00344E2B">
            <w:pPr>
              <w:tabs>
                <w:tab w:val="left" w:pos="0"/>
              </w:tabs>
              <w:spacing w:before="120" w:after="120"/>
              <w:rPr>
                <w:rFonts w:eastAsia="Times New Roman" w:cs="Times New Roman"/>
                <w:szCs w:val="24"/>
                <w:lang w:eastAsia="en-GB"/>
              </w:rPr>
            </w:pPr>
            <w:r w:rsidRPr="00FA6FC0">
              <w:rPr>
                <w:rFonts w:eastAsia="Times New Roman" w:cs="Times New Roman"/>
                <w:szCs w:val="24"/>
                <w:lang w:eastAsia="en-GB"/>
              </w:rPr>
              <w:t>Assistant Chief Constable</w:t>
            </w:r>
          </w:p>
        </w:tc>
      </w:tr>
      <w:tr w:rsidR="00A44EA5" w:rsidRPr="00FA6FC0" w14:paraId="40F8D7E9" w14:textId="77777777" w:rsidTr="00344E2B">
        <w:tc>
          <w:tcPr>
            <w:tcW w:w="2836" w:type="dxa"/>
          </w:tcPr>
          <w:p w14:paraId="7F936624" w14:textId="77777777" w:rsidR="00A44EA5" w:rsidRPr="00FA6FC0" w:rsidRDefault="00A44EA5" w:rsidP="00344E2B">
            <w:pPr>
              <w:tabs>
                <w:tab w:val="left" w:pos="0"/>
              </w:tabs>
              <w:spacing w:before="120" w:after="120"/>
              <w:rPr>
                <w:rFonts w:eastAsia="Times New Roman" w:cs="Times New Roman"/>
                <w:szCs w:val="24"/>
                <w:lang w:val="de-DE" w:eastAsia="en-GB"/>
              </w:rPr>
            </w:pPr>
            <w:r w:rsidRPr="00FA6FC0">
              <w:rPr>
                <w:rFonts w:eastAsia="Times New Roman" w:cs="Times New Roman"/>
                <w:szCs w:val="24"/>
                <w:lang w:val="de-DE" w:eastAsia="en-GB"/>
              </w:rPr>
              <w:t>Andrew White</w:t>
            </w:r>
          </w:p>
        </w:tc>
        <w:tc>
          <w:tcPr>
            <w:tcW w:w="4427" w:type="dxa"/>
          </w:tcPr>
          <w:p w14:paraId="54C26711" w14:textId="77777777" w:rsidR="00A44EA5" w:rsidRPr="00FA6FC0" w:rsidRDefault="00A44EA5" w:rsidP="00344E2B">
            <w:pPr>
              <w:tabs>
                <w:tab w:val="left" w:pos="0"/>
              </w:tabs>
              <w:spacing w:before="120" w:after="120"/>
              <w:rPr>
                <w:rFonts w:eastAsia="Times New Roman" w:cs="Times New Roman"/>
                <w:szCs w:val="24"/>
                <w:lang w:eastAsia="en-GB"/>
              </w:rPr>
            </w:pPr>
            <w:r w:rsidRPr="00FA6FC0">
              <w:rPr>
                <w:rFonts w:eastAsia="Times New Roman" w:cs="Times New Roman"/>
                <w:szCs w:val="24"/>
                <w:lang w:eastAsia="en-GB"/>
              </w:rPr>
              <w:t>Assistant Chief Officer - Resources</w:t>
            </w:r>
          </w:p>
        </w:tc>
      </w:tr>
      <w:tr w:rsidR="00A44EA5" w:rsidRPr="00FA6FC0" w14:paraId="2BDCF4EA" w14:textId="77777777" w:rsidTr="00344E2B">
        <w:tc>
          <w:tcPr>
            <w:tcW w:w="2836" w:type="dxa"/>
          </w:tcPr>
          <w:p w14:paraId="257FCC3B" w14:textId="77777777" w:rsidR="00A44EA5" w:rsidRPr="00FA6FC0" w:rsidRDefault="00A44EA5" w:rsidP="00344E2B">
            <w:pPr>
              <w:tabs>
                <w:tab w:val="left" w:pos="0"/>
              </w:tabs>
              <w:spacing w:before="120" w:after="120"/>
              <w:rPr>
                <w:rFonts w:eastAsia="Times New Roman" w:cs="Times New Roman"/>
                <w:szCs w:val="24"/>
                <w:lang w:val="de-DE" w:eastAsia="en-GB"/>
              </w:rPr>
            </w:pPr>
            <w:r w:rsidRPr="00FA6FC0">
              <w:rPr>
                <w:rFonts w:eastAsia="Times New Roman" w:cs="Times New Roman"/>
                <w:szCs w:val="24"/>
                <w:lang w:val="de-DE" w:eastAsia="en-GB"/>
              </w:rPr>
              <w:t>Sharon Clark</w:t>
            </w:r>
            <w:r w:rsidRPr="00FA6FC0">
              <w:rPr>
                <w:rFonts w:eastAsia="Times New Roman" w:cs="Times New Roman"/>
                <w:szCs w:val="24"/>
                <w:lang w:val="de-DE" w:eastAsia="en-GB"/>
              </w:rPr>
              <w:tab/>
            </w:r>
          </w:p>
        </w:tc>
        <w:tc>
          <w:tcPr>
            <w:tcW w:w="4427" w:type="dxa"/>
          </w:tcPr>
          <w:p w14:paraId="32CAAAF5" w14:textId="430D6776" w:rsidR="00A44EA5" w:rsidRDefault="005F624E" w:rsidP="00344E2B">
            <w:pPr>
              <w:tabs>
                <w:tab w:val="left" w:pos="0"/>
              </w:tabs>
              <w:spacing w:before="120" w:after="120"/>
              <w:rPr>
                <w:rFonts w:eastAsia="Times New Roman" w:cs="Times New Roman"/>
                <w:szCs w:val="24"/>
                <w:lang w:eastAsia="en-GB"/>
              </w:rPr>
            </w:pPr>
            <w:r>
              <w:rPr>
                <w:rFonts w:eastAsia="Times New Roman" w:cs="Times New Roman"/>
                <w:szCs w:val="24"/>
                <w:lang w:eastAsia="en-GB"/>
              </w:rPr>
              <w:t>Director of Finance &amp; Corporate Services (S151)</w:t>
            </w:r>
          </w:p>
          <w:p w14:paraId="240D4356" w14:textId="77777777" w:rsidR="00A44EA5" w:rsidRPr="00FA6FC0" w:rsidRDefault="00A44EA5" w:rsidP="00344E2B">
            <w:pPr>
              <w:tabs>
                <w:tab w:val="left" w:pos="0"/>
              </w:tabs>
              <w:spacing w:before="120" w:after="120"/>
              <w:rPr>
                <w:rFonts w:eastAsia="Times New Roman" w:cs="Times New Roman"/>
                <w:szCs w:val="24"/>
                <w:lang w:eastAsia="en-GB"/>
              </w:rPr>
            </w:pPr>
          </w:p>
        </w:tc>
      </w:tr>
    </w:tbl>
    <w:p w14:paraId="56AC7119" w14:textId="77777777" w:rsidR="00A44EA5" w:rsidRPr="005B65D6" w:rsidRDefault="00A44EA5" w:rsidP="00A44EA5">
      <w:pPr>
        <w:keepNext/>
        <w:tabs>
          <w:tab w:val="left" w:pos="0"/>
        </w:tabs>
        <w:spacing w:before="120" w:after="120"/>
        <w:outlineLvl w:val="3"/>
        <w:rPr>
          <w:rFonts w:eastAsia="Times New Roman" w:cs="Arial"/>
          <w:b/>
          <w:i/>
          <w:iCs/>
          <w:szCs w:val="20"/>
          <w:lang w:eastAsia="en-GB"/>
        </w:rPr>
      </w:pPr>
      <w:r w:rsidRPr="005B65D6">
        <w:rPr>
          <w:rFonts w:eastAsia="Times New Roman" w:cs="Times New Roman"/>
          <w:i/>
          <w:iCs/>
          <w:szCs w:val="24"/>
          <w:lang w:val="de-DE" w:eastAsia="en-GB"/>
        </w:rPr>
        <w:t>The former Chief Constable Bill Skelly retired in December 2020.</w:t>
      </w:r>
    </w:p>
    <w:p w14:paraId="307BBFD9" w14:textId="77777777" w:rsidR="00A44EA5" w:rsidRDefault="00A44EA5" w:rsidP="00A44EA5">
      <w:pPr>
        <w:keepNext/>
        <w:tabs>
          <w:tab w:val="left" w:pos="0"/>
        </w:tabs>
        <w:spacing w:before="120" w:after="120"/>
        <w:outlineLvl w:val="3"/>
        <w:rPr>
          <w:rFonts w:eastAsia="Times New Roman" w:cs="Arial"/>
          <w:b/>
          <w:szCs w:val="20"/>
          <w:lang w:eastAsia="en-GB"/>
        </w:rPr>
      </w:pPr>
    </w:p>
    <w:p w14:paraId="167BB3AA" w14:textId="77777777" w:rsidR="00A44EA5" w:rsidRPr="00FA6FC0" w:rsidRDefault="00A44EA5" w:rsidP="00A44EA5">
      <w:pPr>
        <w:keepNext/>
        <w:tabs>
          <w:tab w:val="left" w:pos="0"/>
        </w:tabs>
        <w:spacing w:before="120" w:after="120"/>
        <w:outlineLvl w:val="3"/>
        <w:rPr>
          <w:rFonts w:eastAsia="Times New Roman" w:cs="Arial"/>
          <w:b/>
          <w:szCs w:val="20"/>
          <w:lang w:eastAsia="en-GB"/>
        </w:rPr>
      </w:pPr>
      <w:r w:rsidRPr="00FA6FC0">
        <w:rPr>
          <w:rFonts w:eastAsia="Times New Roman" w:cs="Arial"/>
          <w:b/>
          <w:szCs w:val="20"/>
          <w:lang w:eastAsia="en-GB"/>
        </w:rPr>
        <w:t>The Statement of Accounts</w:t>
      </w:r>
    </w:p>
    <w:p w14:paraId="22A82D58" w14:textId="5E64AD34" w:rsidR="00A44EA5" w:rsidRPr="00FA6FC0" w:rsidRDefault="00A44EA5" w:rsidP="00A44EA5">
      <w:pPr>
        <w:tabs>
          <w:tab w:val="left" w:pos="567"/>
        </w:tabs>
        <w:rPr>
          <w:rFonts w:eastAsia="Times New Roman" w:cs="Times New Roman"/>
          <w:szCs w:val="24"/>
          <w:lang w:eastAsia="en-GB"/>
        </w:rPr>
      </w:pPr>
      <w:r w:rsidRPr="00FA6FC0">
        <w:rPr>
          <w:rFonts w:eastAsia="Times New Roman" w:cs="Times New Roman"/>
          <w:szCs w:val="24"/>
          <w:lang w:eastAsia="en-GB"/>
        </w:rPr>
        <w:t>The 20</w:t>
      </w:r>
      <w:r w:rsidR="005E5A43">
        <w:rPr>
          <w:rFonts w:eastAsia="Times New Roman" w:cs="Times New Roman"/>
          <w:szCs w:val="24"/>
          <w:lang w:eastAsia="en-GB"/>
        </w:rPr>
        <w:t>20</w:t>
      </w:r>
      <w:r w:rsidRPr="00FA6FC0">
        <w:rPr>
          <w:rFonts w:eastAsia="Times New Roman" w:cs="Times New Roman"/>
          <w:szCs w:val="24"/>
          <w:lang w:eastAsia="en-GB"/>
        </w:rPr>
        <w:t>/2</w:t>
      </w:r>
      <w:r w:rsidR="005E5A43">
        <w:rPr>
          <w:rFonts w:eastAsia="Times New Roman" w:cs="Times New Roman"/>
          <w:szCs w:val="24"/>
          <w:lang w:eastAsia="en-GB"/>
        </w:rPr>
        <w:t>1</w:t>
      </w:r>
      <w:r w:rsidRPr="00FA6FC0">
        <w:rPr>
          <w:rFonts w:eastAsia="Times New Roman" w:cs="Times New Roman"/>
          <w:szCs w:val="24"/>
          <w:lang w:eastAsia="en-GB"/>
        </w:rPr>
        <w:t xml:space="preserve"> Statement of Accounts is prepared in accordance with the Chartered Institute of Public Finance and Accountancy (CIPFA) Code of Practice on Local Authority Accounting.  The accounts reflect the current legislative framework as well as the local arrangements operating in practice. Key elements of this framework include:</w:t>
      </w:r>
    </w:p>
    <w:p w14:paraId="28E03F5E" w14:textId="77777777" w:rsidR="00A44EA5" w:rsidRPr="00FA6FC0" w:rsidRDefault="00A44EA5" w:rsidP="00A44EA5">
      <w:pPr>
        <w:numPr>
          <w:ilvl w:val="0"/>
          <w:numId w:val="12"/>
        </w:numPr>
        <w:tabs>
          <w:tab w:val="left" w:pos="0"/>
          <w:tab w:val="left" w:pos="709"/>
        </w:tabs>
        <w:spacing w:before="120" w:after="120"/>
        <w:ind w:left="709" w:hanging="284"/>
        <w:rPr>
          <w:rFonts w:eastAsia="Times New Roman" w:cs="Times New Roman"/>
          <w:szCs w:val="24"/>
          <w:lang w:eastAsia="en-GB"/>
        </w:rPr>
      </w:pPr>
      <w:r w:rsidRPr="00FA6FC0">
        <w:rPr>
          <w:rFonts w:eastAsia="Times New Roman" w:cs="Times New Roman"/>
          <w:szCs w:val="24"/>
          <w:lang w:eastAsia="en-GB"/>
        </w:rPr>
        <w:t>The Police Reform and Social Responsibility Act 2011 (the Act</w:t>
      </w:r>
      <w:proofErr w:type="gramStart"/>
      <w:r w:rsidRPr="00FA6FC0">
        <w:rPr>
          <w:rFonts w:eastAsia="Times New Roman" w:cs="Times New Roman"/>
          <w:szCs w:val="24"/>
          <w:lang w:eastAsia="en-GB"/>
        </w:rPr>
        <w:t>);</w:t>
      </w:r>
      <w:proofErr w:type="gramEnd"/>
    </w:p>
    <w:p w14:paraId="3DEBCE0B" w14:textId="77777777" w:rsidR="00A44EA5" w:rsidRPr="00FA6FC0" w:rsidRDefault="00A44EA5" w:rsidP="00A44EA5">
      <w:pPr>
        <w:numPr>
          <w:ilvl w:val="0"/>
          <w:numId w:val="12"/>
        </w:numPr>
        <w:tabs>
          <w:tab w:val="left" w:pos="0"/>
          <w:tab w:val="left" w:pos="709"/>
        </w:tabs>
        <w:spacing w:before="120" w:after="120"/>
        <w:ind w:left="709" w:hanging="284"/>
        <w:rPr>
          <w:rFonts w:eastAsia="Times New Roman" w:cs="Times New Roman"/>
          <w:szCs w:val="24"/>
          <w:lang w:eastAsia="en-GB"/>
        </w:rPr>
      </w:pPr>
      <w:r w:rsidRPr="00FA6FC0">
        <w:rPr>
          <w:rFonts w:eastAsia="Times New Roman" w:cs="Times New Roman"/>
          <w:szCs w:val="24"/>
          <w:lang w:eastAsia="en-GB"/>
        </w:rPr>
        <w:t xml:space="preserve">The Home Office Financial Management Code of Practice for the Police Service of England and Wales </w:t>
      </w:r>
      <w:proofErr w:type="gramStart"/>
      <w:r w:rsidRPr="00FA6FC0">
        <w:rPr>
          <w:rFonts w:eastAsia="Times New Roman" w:cs="Times New Roman"/>
          <w:szCs w:val="24"/>
          <w:lang w:eastAsia="en-GB"/>
        </w:rPr>
        <w:t>2018;</w:t>
      </w:r>
      <w:proofErr w:type="gramEnd"/>
    </w:p>
    <w:p w14:paraId="1A4C4E1F" w14:textId="77777777" w:rsidR="00A44EA5" w:rsidRPr="00FA6FC0" w:rsidRDefault="00A44EA5" w:rsidP="00A44EA5">
      <w:pPr>
        <w:numPr>
          <w:ilvl w:val="0"/>
          <w:numId w:val="12"/>
        </w:numPr>
        <w:tabs>
          <w:tab w:val="left" w:pos="0"/>
        </w:tabs>
        <w:spacing w:before="120" w:after="120"/>
        <w:ind w:left="709" w:hanging="284"/>
        <w:contextualSpacing/>
        <w:rPr>
          <w:rFonts w:eastAsia="Times New Roman" w:cs="Times New Roman"/>
          <w:szCs w:val="24"/>
          <w:lang w:eastAsia="en-GB"/>
        </w:rPr>
      </w:pPr>
      <w:r w:rsidRPr="00FA6FC0">
        <w:rPr>
          <w:rFonts w:eastAsia="Times New Roman" w:cs="Times New Roman"/>
          <w:szCs w:val="24"/>
          <w:lang w:eastAsia="en-GB"/>
        </w:rPr>
        <w:t>The Scheme of Delegation including Financial and Contract Regulations.</w:t>
      </w:r>
    </w:p>
    <w:p w14:paraId="7C5DB1BB" w14:textId="77777777" w:rsidR="00A44EA5" w:rsidRPr="00FA6FC0" w:rsidRDefault="00A44EA5" w:rsidP="00A44EA5">
      <w:pPr>
        <w:keepNext/>
        <w:tabs>
          <w:tab w:val="left" w:pos="0"/>
        </w:tabs>
        <w:spacing w:after="0"/>
        <w:contextualSpacing/>
        <w:outlineLvl w:val="3"/>
        <w:rPr>
          <w:rFonts w:eastAsia="Times New Roman" w:cs="Arial"/>
          <w:b/>
          <w:szCs w:val="20"/>
          <w:lang w:eastAsia="en-GB"/>
        </w:rPr>
      </w:pPr>
    </w:p>
    <w:p w14:paraId="31785529" w14:textId="77777777" w:rsidR="00A44EA5" w:rsidRPr="00FA6FC0" w:rsidRDefault="00A44EA5" w:rsidP="00A44EA5">
      <w:pPr>
        <w:keepNext/>
        <w:tabs>
          <w:tab w:val="left" w:pos="0"/>
        </w:tabs>
        <w:spacing w:before="120" w:after="120"/>
        <w:outlineLvl w:val="3"/>
        <w:rPr>
          <w:rFonts w:eastAsia="Times New Roman" w:cs="Arial"/>
          <w:b/>
          <w:szCs w:val="20"/>
          <w:lang w:eastAsia="en-GB"/>
        </w:rPr>
      </w:pPr>
      <w:r w:rsidRPr="00FA6FC0">
        <w:rPr>
          <w:rFonts w:eastAsia="Times New Roman" w:cs="Arial"/>
          <w:b/>
          <w:szCs w:val="20"/>
          <w:lang w:eastAsia="en-GB"/>
        </w:rPr>
        <w:t>Further Information</w:t>
      </w:r>
    </w:p>
    <w:p w14:paraId="7067D40B" w14:textId="77777777" w:rsidR="00A44EA5" w:rsidRPr="00FA6FC0" w:rsidRDefault="00A44EA5" w:rsidP="00A44EA5">
      <w:pPr>
        <w:tabs>
          <w:tab w:val="left" w:pos="567"/>
        </w:tabs>
        <w:rPr>
          <w:rFonts w:eastAsia="Times New Roman" w:cs="Times New Roman"/>
          <w:szCs w:val="24"/>
          <w:lang w:eastAsia="en-GB"/>
        </w:rPr>
      </w:pPr>
      <w:r w:rsidRPr="00FA6FC0">
        <w:rPr>
          <w:rFonts w:eastAsia="Times New Roman" w:cs="Times New Roman"/>
          <w:szCs w:val="24"/>
          <w:lang w:eastAsia="en-GB"/>
        </w:rPr>
        <w:t xml:space="preserve">The Statement of Accounts </w:t>
      </w:r>
      <w:r>
        <w:rPr>
          <w:rFonts w:eastAsia="Times New Roman" w:cs="Times New Roman"/>
          <w:szCs w:val="24"/>
          <w:lang w:eastAsia="en-GB"/>
        </w:rPr>
        <w:t>2020/21</w:t>
      </w:r>
      <w:r w:rsidRPr="00FA6FC0">
        <w:rPr>
          <w:rFonts w:eastAsia="Times New Roman" w:cs="Times New Roman"/>
          <w:szCs w:val="24"/>
          <w:lang w:eastAsia="en-GB"/>
        </w:rPr>
        <w:t xml:space="preserve"> is published as an internet document at </w:t>
      </w:r>
      <w:hyperlink r:id="rId13" w:history="1">
        <w:r w:rsidRPr="00FA6FC0">
          <w:rPr>
            <w:rFonts w:eastAsia="Times New Roman" w:cs="Times New Roman"/>
            <w:color w:val="0000FF"/>
            <w:u w:val="single"/>
            <w:lang w:eastAsia="en-GB"/>
          </w:rPr>
          <w:t>www.lincs.police.uk</w:t>
        </w:r>
      </w:hyperlink>
      <w:r w:rsidRPr="00FA6FC0">
        <w:rPr>
          <w:rFonts w:eastAsia="Times New Roman" w:cs="Times New Roman"/>
          <w:szCs w:val="24"/>
          <w:lang w:eastAsia="en-GB"/>
        </w:rPr>
        <w:t xml:space="preserve"> </w:t>
      </w:r>
    </w:p>
    <w:p w14:paraId="5AF7EE58" w14:textId="77777777" w:rsidR="00060501" w:rsidRDefault="00060501" w:rsidP="00A44EA5">
      <w:pPr>
        <w:tabs>
          <w:tab w:val="left" w:pos="567"/>
        </w:tabs>
        <w:rPr>
          <w:rFonts w:eastAsia="Times New Roman" w:cs="Times New Roman"/>
          <w:szCs w:val="24"/>
          <w:lang w:eastAsia="en-GB"/>
        </w:rPr>
      </w:pPr>
    </w:p>
    <w:p w14:paraId="2DEC7CB1" w14:textId="2E5DAE64" w:rsidR="00A44EA5" w:rsidRPr="00FA6FC0" w:rsidRDefault="00A44EA5" w:rsidP="00A44EA5">
      <w:pPr>
        <w:tabs>
          <w:tab w:val="left" w:pos="567"/>
        </w:tabs>
        <w:rPr>
          <w:rFonts w:eastAsia="Times New Roman" w:cs="Times New Roman"/>
          <w:szCs w:val="24"/>
          <w:lang w:eastAsia="en-GB"/>
        </w:rPr>
      </w:pPr>
      <w:r w:rsidRPr="00FA6FC0">
        <w:rPr>
          <w:rFonts w:eastAsia="Times New Roman" w:cs="Times New Roman"/>
          <w:szCs w:val="24"/>
          <w:lang w:eastAsia="en-GB"/>
        </w:rPr>
        <w:t>Further information about the financial statements is available from:</w:t>
      </w:r>
    </w:p>
    <w:p w14:paraId="64785A61" w14:textId="77777777" w:rsidR="00A44EA5" w:rsidRPr="00FA6FC0" w:rsidRDefault="00A44EA5" w:rsidP="00A44EA5">
      <w:pPr>
        <w:tabs>
          <w:tab w:val="left" w:pos="567"/>
        </w:tabs>
        <w:spacing w:after="0"/>
        <w:ind w:left="425"/>
        <w:rPr>
          <w:rFonts w:eastAsia="Times New Roman" w:cs="Times New Roman"/>
          <w:szCs w:val="24"/>
          <w:lang w:eastAsia="en-GB"/>
        </w:rPr>
      </w:pPr>
      <w:r w:rsidRPr="00FA6FC0">
        <w:rPr>
          <w:rFonts w:eastAsia="Times New Roman" w:cs="Times New Roman"/>
          <w:szCs w:val="24"/>
          <w:lang w:eastAsia="en-GB"/>
        </w:rPr>
        <w:t xml:space="preserve">The Force Chief Finance Officer, </w:t>
      </w:r>
    </w:p>
    <w:p w14:paraId="78303166" w14:textId="77777777" w:rsidR="00A44EA5" w:rsidRPr="00FA6FC0" w:rsidRDefault="00A44EA5" w:rsidP="00A44EA5">
      <w:pPr>
        <w:tabs>
          <w:tab w:val="left" w:pos="567"/>
        </w:tabs>
        <w:spacing w:after="0"/>
        <w:ind w:left="425"/>
        <w:rPr>
          <w:rFonts w:eastAsia="Times New Roman" w:cs="Times New Roman"/>
          <w:szCs w:val="24"/>
          <w:lang w:eastAsia="en-GB"/>
        </w:rPr>
      </w:pPr>
      <w:r w:rsidRPr="00FA6FC0">
        <w:rPr>
          <w:rFonts w:eastAsia="Times New Roman" w:cs="Times New Roman"/>
          <w:szCs w:val="24"/>
          <w:lang w:eastAsia="en-GB"/>
        </w:rPr>
        <w:t xml:space="preserve">Police Headquarters, </w:t>
      </w:r>
    </w:p>
    <w:p w14:paraId="6BE4010D" w14:textId="77777777" w:rsidR="00A44EA5" w:rsidRPr="00FA6FC0" w:rsidRDefault="00A44EA5" w:rsidP="00A44EA5">
      <w:pPr>
        <w:tabs>
          <w:tab w:val="left" w:pos="567"/>
        </w:tabs>
        <w:spacing w:after="0"/>
        <w:ind w:left="425"/>
        <w:rPr>
          <w:rFonts w:eastAsia="Times New Roman" w:cs="Times New Roman"/>
          <w:szCs w:val="24"/>
          <w:lang w:eastAsia="en-GB"/>
        </w:rPr>
      </w:pPr>
      <w:r w:rsidRPr="00FA6FC0">
        <w:rPr>
          <w:rFonts w:eastAsia="Times New Roman" w:cs="Times New Roman"/>
          <w:szCs w:val="24"/>
          <w:lang w:eastAsia="en-GB"/>
        </w:rPr>
        <w:t xml:space="preserve">Deepdale Lane, </w:t>
      </w:r>
    </w:p>
    <w:p w14:paraId="25093840" w14:textId="77777777" w:rsidR="00A44EA5" w:rsidRPr="00FA6FC0" w:rsidRDefault="00A44EA5" w:rsidP="00A44EA5">
      <w:pPr>
        <w:tabs>
          <w:tab w:val="left" w:pos="567"/>
        </w:tabs>
        <w:spacing w:after="0"/>
        <w:ind w:left="425"/>
        <w:rPr>
          <w:rFonts w:eastAsia="Times New Roman" w:cs="Times New Roman"/>
          <w:szCs w:val="24"/>
          <w:lang w:eastAsia="en-GB"/>
        </w:rPr>
      </w:pPr>
      <w:r w:rsidRPr="00FA6FC0">
        <w:rPr>
          <w:rFonts w:eastAsia="Times New Roman" w:cs="Times New Roman"/>
          <w:szCs w:val="24"/>
          <w:lang w:eastAsia="en-GB"/>
        </w:rPr>
        <w:t xml:space="preserve">Nettleham, </w:t>
      </w:r>
    </w:p>
    <w:p w14:paraId="6DBFB1B5" w14:textId="77777777" w:rsidR="00A44EA5" w:rsidRPr="00FA6FC0" w:rsidRDefault="00A44EA5" w:rsidP="00A44EA5">
      <w:pPr>
        <w:tabs>
          <w:tab w:val="left" w:pos="567"/>
        </w:tabs>
        <w:spacing w:after="0"/>
        <w:ind w:left="425"/>
        <w:rPr>
          <w:rFonts w:eastAsia="Times New Roman" w:cs="Times New Roman"/>
          <w:szCs w:val="24"/>
          <w:lang w:eastAsia="en-GB"/>
        </w:rPr>
      </w:pPr>
      <w:r w:rsidRPr="00FA6FC0">
        <w:rPr>
          <w:rFonts w:eastAsia="Times New Roman" w:cs="Times New Roman"/>
          <w:szCs w:val="24"/>
          <w:lang w:eastAsia="en-GB"/>
        </w:rPr>
        <w:t xml:space="preserve">Lincoln, </w:t>
      </w:r>
    </w:p>
    <w:p w14:paraId="6E117160" w14:textId="77777777" w:rsidR="00A44EA5" w:rsidRPr="00FA6FC0" w:rsidRDefault="00A44EA5" w:rsidP="00A44EA5">
      <w:pPr>
        <w:tabs>
          <w:tab w:val="left" w:pos="567"/>
        </w:tabs>
        <w:spacing w:after="0"/>
        <w:ind w:left="425"/>
        <w:rPr>
          <w:rFonts w:eastAsia="Times New Roman" w:cs="Times New Roman"/>
          <w:szCs w:val="24"/>
          <w:lang w:eastAsia="en-GB"/>
        </w:rPr>
      </w:pPr>
      <w:r w:rsidRPr="00FA6FC0">
        <w:rPr>
          <w:rFonts w:eastAsia="Times New Roman" w:cs="Times New Roman"/>
          <w:szCs w:val="24"/>
          <w:lang w:eastAsia="en-GB"/>
        </w:rPr>
        <w:t xml:space="preserve">LN2 2LT </w:t>
      </w:r>
    </w:p>
    <w:p w14:paraId="2E375D32" w14:textId="77777777" w:rsidR="00A44EA5" w:rsidRDefault="00A44EA5" w:rsidP="00A44EA5">
      <w:pPr>
        <w:tabs>
          <w:tab w:val="left" w:pos="567"/>
        </w:tabs>
        <w:rPr>
          <w:rFonts w:eastAsia="Times New Roman" w:cs="Times New Roman"/>
          <w:szCs w:val="24"/>
          <w:lang w:eastAsia="en-GB"/>
        </w:rPr>
      </w:pPr>
      <w:r w:rsidRPr="00FA6FC0">
        <w:rPr>
          <w:rFonts w:eastAsia="Times New Roman" w:cs="Times New Roman"/>
          <w:szCs w:val="24"/>
          <w:lang w:eastAsia="en-GB"/>
        </w:rPr>
        <w:t>In addition, interested members of the public have a statutory right to inspect the accounts before the audit is completed.  The availability of the accounts for inspection has been advertised in the local press.</w:t>
      </w:r>
    </w:p>
    <w:p w14:paraId="75590F3F" w14:textId="77777777" w:rsidR="00B0276B" w:rsidRDefault="00B0276B" w:rsidP="00A44EA5">
      <w:pPr>
        <w:tabs>
          <w:tab w:val="left" w:pos="567"/>
        </w:tabs>
        <w:rPr>
          <w:rFonts w:eastAsia="Times New Roman" w:cs="Times New Roman"/>
          <w:szCs w:val="24"/>
          <w:lang w:eastAsia="en-GB"/>
        </w:rPr>
      </w:pPr>
    </w:p>
    <w:p w14:paraId="191AE198" w14:textId="77777777" w:rsidR="00B0276B" w:rsidRPr="00FA6FC0" w:rsidRDefault="00B0276B" w:rsidP="00A44EA5">
      <w:pPr>
        <w:tabs>
          <w:tab w:val="left" w:pos="567"/>
        </w:tabs>
        <w:rPr>
          <w:rFonts w:eastAsia="Times New Roman" w:cs="Times New Roman"/>
          <w:szCs w:val="24"/>
          <w:lang w:eastAsia="en-GB"/>
        </w:rPr>
      </w:pPr>
    </w:p>
    <w:p w14:paraId="1CFF219B" w14:textId="10BC9104" w:rsidR="00A44EA5" w:rsidRPr="00FA6FC0" w:rsidRDefault="001E760F" w:rsidP="00A44EA5">
      <w:pPr>
        <w:tabs>
          <w:tab w:val="left" w:pos="567"/>
        </w:tabs>
        <w:rPr>
          <w:rFonts w:eastAsia="Times New Roman" w:cs="Times New Roman"/>
          <w:szCs w:val="24"/>
          <w:lang w:eastAsia="en-GB"/>
        </w:rPr>
      </w:pPr>
      <w:r>
        <w:rPr>
          <w:rFonts w:eastAsia="Times New Roman" w:cs="Times New Roman"/>
          <w:noProof/>
          <w:szCs w:val="24"/>
          <w:lang w:eastAsia="en-GB"/>
        </w:rPr>
        <w:t xml:space="preserve">SIGNED ON </w:t>
      </w:r>
      <w:r w:rsidR="00B0276B">
        <w:rPr>
          <w:rFonts w:eastAsia="Times New Roman" w:cs="Times New Roman"/>
          <w:noProof/>
          <w:szCs w:val="24"/>
          <w:lang w:eastAsia="en-GB"/>
        </w:rPr>
        <w:t>6</w:t>
      </w:r>
      <w:r w:rsidR="00B0276B" w:rsidRPr="00B0276B">
        <w:rPr>
          <w:rFonts w:eastAsia="Times New Roman" w:cs="Times New Roman"/>
          <w:noProof/>
          <w:szCs w:val="24"/>
          <w:vertAlign w:val="superscript"/>
          <w:lang w:eastAsia="en-GB"/>
        </w:rPr>
        <w:t>TH</w:t>
      </w:r>
      <w:r w:rsidR="00B0276B">
        <w:rPr>
          <w:rFonts w:eastAsia="Times New Roman" w:cs="Times New Roman"/>
          <w:noProof/>
          <w:szCs w:val="24"/>
          <w:lang w:eastAsia="en-GB"/>
        </w:rPr>
        <w:t xml:space="preserve"> OCTOBER 2023</w:t>
      </w:r>
    </w:p>
    <w:p w14:paraId="02B8F401" w14:textId="77777777" w:rsidR="00A44EA5" w:rsidRPr="00FA6FC0" w:rsidRDefault="00A44EA5" w:rsidP="00A44EA5">
      <w:pPr>
        <w:tabs>
          <w:tab w:val="left" w:pos="567"/>
        </w:tabs>
        <w:rPr>
          <w:rFonts w:eastAsia="Times New Roman" w:cs="Times New Roman"/>
          <w:szCs w:val="24"/>
          <w:lang w:eastAsia="en-GB"/>
        </w:rPr>
      </w:pPr>
    </w:p>
    <w:p w14:paraId="0C7582CA" w14:textId="77777777" w:rsidR="00A44EA5" w:rsidRPr="00FA6FC0" w:rsidRDefault="00A44EA5" w:rsidP="00A44EA5">
      <w:pPr>
        <w:tabs>
          <w:tab w:val="left" w:pos="567"/>
        </w:tabs>
        <w:spacing w:before="120" w:after="120"/>
        <w:rPr>
          <w:rFonts w:eastAsia="Times New Roman" w:cs="Times New Roman"/>
          <w:szCs w:val="24"/>
          <w:lang w:eastAsia="en-GB"/>
        </w:rPr>
      </w:pPr>
      <w:r>
        <w:rPr>
          <w:rFonts w:eastAsia="Times New Roman" w:cs="Times New Roman"/>
          <w:szCs w:val="24"/>
          <w:lang w:eastAsia="en-GB"/>
        </w:rPr>
        <w:t>Chris Haward</w:t>
      </w:r>
    </w:p>
    <w:p w14:paraId="13272A3F" w14:textId="7446F1C1" w:rsidR="00A44EA5" w:rsidRPr="00FA6FC0" w:rsidRDefault="00D47ED4" w:rsidP="00A44EA5">
      <w:pPr>
        <w:spacing w:before="120" w:after="120"/>
        <w:rPr>
          <w:rFonts w:eastAsia="Times New Roman" w:cs="Times New Roman"/>
          <w:szCs w:val="24"/>
          <w:lang w:eastAsia="en-GB"/>
        </w:rPr>
      </w:pPr>
      <w:r>
        <w:rPr>
          <w:rFonts w:eastAsia="Times New Roman" w:cs="Times New Roman"/>
          <w:szCs w:val="24"/>
          <w:lang w:eastAsia="en-GB"/>
        </w:rPr>
        <w:t>Chief Constable of</w:t>
      </w:r>
      <w:r w:rsidR="00A44EA5" w:rsidRPr="00FA6FC0">
        <w:rPr>
          <w:rFonts w:eastAsia="Times New Roman" w:cs="Times New Roman"/>
          <w:szCs w:val="24"/>
          <w:lang w:eastAsia="en-GB"/>
        </w:rPr>
        <w:t xml:space="preserve"> Lincolnshire</w:t>
      </w:r>
    </w:p>
    <w:p w14:paraId="608C7975" w14:textId="77777777" w:rsidR="00A44EA5" w:rsidRDefault="00A44EA5" w:rsidP="00A44EA5">
      <w:r w:rsidRPr="00FA6FC0">
        <w:rPr>
          <w:rFonts w:eastAsia="Times New Roman" w:cs="Times New Roman"/>
          <w:szCs w:val="24"/>
          <w:lang w:eastAsia="en-GB"/>
        </w:rPr>
        <w:t>(</w:t>
      </w:r>
      <w:r>
        <w:rPr>
          <w:rFonts w:eastAsia="Times New Roman" w:cs="Times New Roman"/>
          <w:szCs w:val="24"/>
          <w:lang w:eastAsia="en-GB"/>
        </w:rPr>
        <w:t xml:space="preserve">Appointed </w:t>
      </w:r>
      <w:r w:rsidRPr="00FA6FC0">
        <w:rPr>
          <w:rFonts w:eastAsia="Times New Roman" w:cs="Times New Roman"/>
          <w:szCs w:val="24"/>
          <w:lang w:eastAsia="en-GB"/>
        </w:rPr>
        <w:t>December 2020)</w:t>
      </w:r>
    </w:p>
    <w:p w14:paraId="42591948" w14:textId="7AEA04C4" w:rsidR="00BC385F" w:rsidRDefault="00BC385F" w:rsidP="001616D7">
      <w:pPr>
        <w:spacing w:before="120" w:after="120"/>
        <w:ind w:left="0"/>
        <w:jc w:val="left"/>
      </w:pPr>
      <w:r>
        <w:br w:type="page"/>
      </w:r>
    </w:p>
    <w:p w14:paraId="51E86541" w14:textId="77777777" w:rsidR="00A44EA5" w:rsidRDefault="00A44EA5" w:rsidP="00A44EA5">
      <w:pPr>
        <w:pStyle w:val="Heading1"/>
        <w:ind w:left="0"/>
      </w:pPr>
      <w:bookmarkStart w:id="22" w:name="_Toc42205014"/>
      <w:bookmarkStart w:id="23" w:name="_Toc42271366"/>
      <w:bookmarkStart w:id="24" w:name="_Toc42272132"/>
      <w:bookmarkStart w:id="25" w:name="_Toc144279255"/>
      <w:bookmarkStart w:id="26" w:name="_Toc487811880"/>
      <w:bookmarkStart w:id="27" w:name="_Toc8981123"/>
      <w:bookmarkStart w:id="28" w:name="_Toc42205016"/>
      <w:bookmarkStart w:id="29" w:name="_Toc42271368"/>
      <w:r>
        <w:lastRenderedPageBreak/>
        <w:t>Annual Governance Statement 2020/2</w:t>
      </w:r>
      <w:bookmarkEnd w:id="22"/>
      <w:bookmarkEnd w:id="23"/>
      <w:bookmarkEnd w:id="24"/>
      <w:r>
        <w:t>1</w:t>
      </w:r>
      <w:bookmarkEnd w:id="25"/>
    </w:p>
    <w:p w14:paraId="1F97173A" w14:textId="77777777" w:rsidR="00A25BC2" w:rsidRPr="004822CA" w:rsidRDefault="00533849" w:rsidP="00A25BC2">
      <w:pPr>
        <w:ind w:left="0"/>
        <w:rPr>
          <w:rFonts w:ascii="Calibri" w:hAnsi="Calibri"/>
          <w:color w:val="000000"/>
        </w:rPr>
      </w:pPr>
      <w:bookmarkStart w:id="30" w:name="MIRS"/>
      <w:bookmarkEnd w:id="30"/>
      <w:r w:rsidRPr="00754431">
        <w:rPr>
          <w:color w:val="000000"/>
        </w:rPr>
        <w:t xml:space="preserve">The following Annual Governance Statement was prepared during May 2021 and published alongside the unaudited Financial Statements for 2020/21 on 31 May 2021. </w:t>
      </w:r>
      <w:r w:rsidR="00A25BC2">
        <w:rPr>
          <w:color w:val="000000"/>
        </w:rPr>
        <w:t>Due to delays to the completion of the 2018/19 and 2019/20 audits, subsequent completion of the external audit of the draft Financial Statements 2020/21 was delayed until October 2023.</w:t>
      </w:r>
    </w:p>
    <w:p w14:paraId="01FDF003" w14:textId="77777777" w:rsidR="00533849" w:rsidRPr="00754431" w:rsidRDefault="00533849" w:rsidP="00754431">
      <w:pPr>
        <w:ind w:left="0"/>
        <w:rPr>
          <w:color w:val="000000"/>
        </w:rPr>
      </w:pPr>
      <w:r w:rsidRPr="00754431">
        <w:rPr>
          <w:color w:val="000000"/>
        </w:rPr>
        <w:t>The Annual Governance Statement has since been reviewed to consider any updates required and/or where any events now, no changes were made beyond this forward to the Annual Governance Statement and there have been no subsequent events that impacted on that year. Subsequent accounts and medium-term financial planning documents confirm that a going concern basis is appropriate and a Note to the Accounts has been included to explain that going concern review.</w:t>
      </w:r>
    </w:p>
    <w:p w14:paraId="088EE9C9" w14:textId="77777777" w:rsidR="00A44EA5" w:rsidRPr="000902C1" w:rsidRDefault="00A44EA5" w:rsidP="006C1EEF">
      <w:pPr>
        <w:numPr>
          <w:ilvl w:val="0"/>
          <w:numId w:val="29"/>
        </w:numPr>
        <w:spacing w:before="0" w:after="200" w:line="276" w:lineRule="auto"/>
        <w:rPr>
          <w:b/>
        </w:rPr>
      </w:pPr>
      <w:r w:rsidRPr="000902C1">
        <w:rPr>
          <w:b/>
        </w:rPr>
        <w:t>Introduction</w:t>
      </w:r>
    </w:p>
    <w:p w14:paraId="6DAB67C2" w14:textId="77777777" w:rsidR="00A44EA5" w:rsidRPr="000902C1" w:rsidRDefault="00A44EA5" w:rsidP="006C1EEF">
      <w:pPr>
        <w:numPr>
          <w:ilvl w:val="1"/>
          <w:numId w:val="29"/>
        </w:numPr>
        <w:spacing w:before="0" w:after="200" w:line="276" w:lineRule="auto"/>
      </w:pPr>
      <w:r w:rsidRPr="000902C1">
        <w:t>Good governance is about how organisations ensure that they are doing the right things, in the right way, for the right people, in a timely, inclusive, open and accountable manner.  It comprises the systems, processes, culture and values by which organisations are directed and controlled, and through which they account to, engage with and, where appropriate, lead their communities.</w:t>
      </w:r>
    </w:p>
    <w:p w14:paraId="63B86FF7" w14:textId="77777777" w:rsidR="00A44EA5" w:rsidRPr="000902C1" w:rsidRDefault="00A44EA5" w:rsidP="006C1EEF">
      <w:pPr>
        <w:numPr>
          <w:ilvl w:val="1"/>
          <w:numId w:val="30"/>
        </w:numPr>
        <w:spacing w:before="0" w:after="200" w:line="276" w:lineRule="auto"/>
      </w:pPr>
      <w:r w:rsidRPr="000902C1">
        <w:t>All Police and Crime Commissioners and Chief Constables are required by regulation to produce an Annual Governance Statement (AGS). This is a document which accompanies the statement of accounts and describes how effective our governance arrangements have been over the last 12 months and sets out areas for development.  The Chief Constable’s Statement is intended to support the Police and Crime Commissioner Group governance arrangements which are detailed in that separate set of accounts.</w:t>
      </w:r>
    </w:p>
    <w:p w14:paraId="35AC458D" w14:textId="77777777" w:rsidR="00A44EA5" w:rsidRPr="000902C1" w:rsidRDefault="00A44EA5" w:rsidP="006C1EEF">
      <w:pPr>
        <w:numPr>
          <w:ilvl w:val="0"/>
          <w:numId w:val="9"/>
        </w:numPr>
        <w:spacing w:before="0" w:after="200" w:line="276" w:lineRule="auto"/>
        <w:rPr>
          <w:b/>
        </w:rPr>
      </w:pPr>
      <w:r w:rsidRPr="000902C1">
        <w:rPr>
          <w:b/>
        </w:rPr>
        <w:t>Scope of Responsibilities</w:t>
      </w:r>
    </w:p>
    <w:p w14:paraId="2CF4FE80" w14:textId="77777777" w:rsidR="00A44EA5" w:rsidRPr="000902C1" w:rsidRDefault="00A44EA5" w:rsidP="006C1EEF">
      <w:pPr>
        <w:numPr>
          <w:ilvl w:val="1"/>
          <w:numId w:val="30"/>
        </w:numPr>
        <w:spacing w:before="0" w:after="200" w:line="276" w:lineRule="auto"/>
      </w:pPr>
      <w:r w:rsidRPr="000902C1">
        <w:t>The Chief Constable has responsibility where the Police and Crime Commissioner (the “Commissioner”) delegates functions in respect of securing an efficient and effective police force. In discharging his responsibility, the Chief Constable shall have regard for the Local Policing Plan issued by the Commissioner.</w:t>
      </w:r>
    </w:p>
    <w:p w14:paraId="4DD44AE4" w14:textId="77777777" w:rsidR="00A44EA5" w:rsidRPr="000902C1" w:rsidRDefault="00A44EA5" w:rsidP="006C1EEF">
      <w:pPr>
        <w:numPr>
          <w:ilvl w:val="1"/>
          <w:numId w:val="29"/>
        </w:numPr>
        <w:spacing w:before="0" w:after="200" w:line="276" w:lineRule="auto"/>
      </w:pPr>
      <w:r w:rsidRPr="000902C1">
        <w:t>The Chief Constable is responsible for the direction and control of the Force, ensuring his business is conducted in accordance with the law and proper standards, and that public money is accounted for, and used economically, efficiently and effectively.</w:t>
      </w:r>
    </w:p>
    <w:p w14:paraId="6449F739" w14:textId="77777777" w:rsidR="00A44EA5" w:rsidRPr="000902C1" w:rsidRDefault="00A44EA5" w:rsidP="006C1EEF">
      <w:pPr>
        <w:numPr>
          <w:ilvl w:val="1"/>
          <w:numId w:val="29"/>
        </w:numPr>
        <w:spacing w:before="0" w:after="200" w:line="276" w:lineRule="auto"/>
      </w:pPr>
      <w:r w:rsidRPr="000902C1">
        <w:t>In discharging his responsibilities, the Chief Constable is required to put in place proper arrangements for the governance of his affairs and which facilitate the exercise of his functions, which includes ensuring a sound system of internal control is maintained through the year and that arrangements are in place for the management of risk.</w:t>
      </w:r>
    </w:p>
    <w:p w14:paraId="317449F5" w14:textId="77777777" w:rsidR="00533849" w:rsidRDefault="00533849">
      <w:pPr>
        <w:spacing w:before="0" w:after="200" w:line="276" w:lineRule="auto"/>
        <w:ind w:left="0"/>
        <w:jc w:val="left"/>
      </w:pPr>
      <w:r>
        <w:br w:type="page"/>
      </w:r>
    </w:p>
    <w:p w14:paraId="049E4337" w14:textId="63193DC3" w:rsidR="00A44EA5" w:rsidRPr="000902C1" w:rsidRDefault="00A44EA5" w:rsidP="006C1EEF">
      <w:pPr>
        <w:numPr>
          <w:ilvl w:val="1"/>
          <w:numId w:val="29"/>
        </w:numPr>
        <w:spacing w:before="0" w:after="200" w:line="276" w:lineRule="auto"/>
      </w:pPr>
      <w:r w:rsidRPr="000902C1">
        <w:lastRenderedPageBreak/>
        <w:t xml:space="preserve">The Chief Constable has approved and adopted a code of corporate governance, which is consistent with the principles of the CIPFA/SOLACE Framework: Delivering Good Governance in Local Government. A copy is available on the Lincolnshire Police website at </w:t>
      </w:r>
      <w:hyperlink r:id="rId14" w:history="1">
        <w:r w:rsidR="00202609">
          <w:rPr>
            <w:rStyle w:val="Hyperlink"/>
          </w:rPr>
          <w:t>Chief Constable's corporate governance | Lincolnshire Police (lincs.police.uk)</w:t>
        </w:r>
      </w:hyperlink>
      <w:r w:rsidRPr="000902C1">
        <w:t xml:space="preserve"> or can be obtained from: </w:t>
      </w:r>
    </w:p>
    <w:p w14:paraId="468551F9" w14:textId="77777777" w:rsidR="00A44EA5" w:rsidRPr="000902C1" w:rsidRDefault="00A44EA5" w:rsidP="006C1EEF">
      <w:pPr>
        <w:spacing w:before="0" w:after="0"/>
        <w:ind w:left="709"/>
        <w:contextualSpacing/>
      </w:pPr>
      <w:r w:rsidRPr="000902C1">
        <w:t xml:space="preserve">The Chief Constable’s Office, </w:t>
      </w:r>
    </w:p>
    <w:p w14:paraId="03A691C1" w14:textId="77777777" w:rsidR="00A44EA5" w:rsidRPr="000902C1" w:rsidRDefault="00A44EA5" w:rsidP="006C1EEF">
      <w:pPr>
        <w:spacing w:before="0" w:after="0"/>
        <w:ind w:left="709"/>
        <w:contextualSpacing/>
      </w:pPr>
      <w:r w:rsidRPr="000902C1">
        <w:t xml:space="preserve">Police Headquarters, </w:t>
      </w:r>
    </w:p>
    <w:p w14:paraId="283259DA" w14:textId="77777777" w:rsidR="00A44EA5" w:rsidRPr="000902C1" w:rsidRDefault="00A44EA5" w:rsidP="006C1EEF">
      <w:pPr>
        <w:spacing w:before="0" w:after="0"/>
        <w:ind w:left="709"/>
        <w:contextualSpacing/>
      </w:pPr>
      <w:r w:rsidRPr="000902C1">
        <w:t xml:space="preserve">Deepdale Lane, </w:t>
      </w:r>
    </w:p>
    <w:p w14:paraId="2EADD7A3" w14:textId="77777777" w:rsidR="00A44EA5" w:rsidRPr="000902C1" w:rsidRDefault="00A44EA5" w:rsidP="006C1EEF">
      <w:pPr>
        <w:spacing w:before="0" w:after="0"/>
        <w:ind w:left="709"/>
        <w:contextualSpacing/>
      </w:pPr>
      <w:r w:rsidRPr="000902C1">
        <w:t xml:space="preserve">Nettleham, Lincoln, </w:t>
      </w:r>
    </w:p>
    <w:p w14:paraId="5E366114" w14:textId="198049CB" w:rsidR="00A44EA5" w:rsidRDefault="00A44EA5" w:rsidP="006C1EEF">
      <w:pPr>
        <w:spacing w:before="0" w:after="0"/>
        <w:ind w:left="709"/>
        <w:contextualSpacing/>
      </w:pPr>
      <w:r w:rsidRPr="000902C1">
        <w:t>LN2 2LT.</w:t>
      </w:r>
    </w:p>
    <w:p w14:paraId="699BBDB2" w14:textId="77777777" w:rsidR="00533849" w:rsidRPr="000902C1" w:rsidRDefault="00533849" w:rsidP="006C1EEF">
      <w:pPr>
        <w:spacing w:before="0" w:after="0"/>
        <w:ind w:left="709"/>
        <w:contextualSpacing/>
      </w:pPr>
    </w:p>
    <w:p w14:paraId="67372670" w14:textId="77777777" w:rsidR="00A44EA5" w:rsidRPr="003F216F" w:rsidRDefault="00A44EA5" w:rsidP="006C1EEF">
      <w:pPr>
        <w:numPr>
          <w:ilvl w:val="1"/>
          <w:numId w:val="29"/>
        </w:numPr>
        <w:spacing w:before="0" w:after="200" w:line="276" w:lineRule="auto"/>
      </w:pPr>
      <w:r w:rsidRPr="000902C1">
        <w:t xml:space="preserve">This statement explains how the Chief Constable has complied with the Code </w:t>
      </w:r>
      <w:proofErr w:type="gramStart"/>
      <w:r w:rsidRPr="000902C1">
        <w:t>and also</w:t>
      </w:r>
      <w:proofErr w:type="gramEnd"/>
      <w:r w:rsidRPr="000902C1">
        <w:t xml:space="preserve"> meets the requirements of regulation 6(1) of the Accounts and Audit Regulations </w:t>
      </w:r>
      <w:r w:rsidRPr="003F216F">
        <w:t xml:space="preserve">2015 in relation to the publication of an Annual Governance Statement. </w:t>
      </w:r>
    </w:p>
    <w:p w14:paraId="49CA7F4A" w14:textId="77777777" w:rsidR="00A44EA5" w:rsidRPr="000902C1" w:rsidRDefault="00A44EA5" w:rsidP="006C1EEF">
      <w:pPr>
        <w:numPr>
          <w:ilvl w:val="1"/>
          <w:numId w:val="29"/>
        </w:numPr>
        <w:spacing w:before="0" w:after="200" w:line="276" w:lineRule="auto"/>
      </w:pPr>
      <w:r w:rsidRPr="003F216F">
        <w:t>Section 3.7.4 of</w:t>
      </w:r>
      <w:r w:rsidRPr="000902C1">
        <w:t xml:space="preserve"> the Code of Practice on Local Authority Accounting for 20</w:t>
      </w:r>
      <w:r>
        <w:t>20</w:t>
      </w:r>
      <w:r w:rsidRPr="000902C1">
        <w:t>/2</w:t>
      </w:r>
      <w:r>
        <w:t>1</w:t>
      </w:r>
      <w:r w:rsidRPr="000902C1">
        <w:t xml:space="preserve"> requires the Chief Constable’s financial management arrangements to conform to the governance requirements of the CIPFA Statement on the Role of the Chief Finance Officer (CFO) of the Commissioner and the CFO of the Chief Constable. The Chief Constable’s financial management arrangements are fully compliant with the CIPFA Statement on the Role of the Chief Finance Officer (CFO) of the Chief Constable.</w:t>
      </w:r>
    </w:p>
    <w:p w14:paraId="7882033C" w14:textId="77777777" w:rsidR="00A44EA5" w:rsidRPr="000902C1" w:rsidRDefault="00A44EA5" w:rsidP="006C1EEF">
      <w:pPr>
        <w:numPr>
          <w:ilvl w:val="0"/>
          <w:numId w:val="29"/>
        </w:numPr>
        <w:spacing w:before="0" w:after="200" w:line="276" w:lineRule="auto"/>
        <w:rPr>
          <w:b/>
        </w:rPr>
      </w:pPr>
      <w:r w:rsidRPr="000902C1">
        <w:rPr>
          <w:b/>
        </w:rPr>
        <w:t>The Purpose of the Governance Framework</w:t>
      </w:r>
    </w:p>
    <w:p w14:paraId="2EC30E55" w14:textId="77777777" w:rsidR="00A44EA5" w:rsidRPr="000902C1" w:rsidRDefault="00A44EA5" w:rsidP="006C1EEF">
      <w:pPr>
        <w:numPr>
          <w:ilvl w:val="1"/>
          <w:numId w:val="29"/>
        </w:numPr>
        <w:spacing w:before="0" w:after="200" w:line="276" w:lineRule="auto"/>
      </w:pPr>
      <w:r w:rsidRPr="000902C1">
        <w:t>The governance framework comprises the systems and processes, and culture and values utilised in the discharge of the Chief Constable’s statutory functions. It enables the Chief Constable to monitor the achievement of the Force objectives and to consider whether those plans have led to the delivery of appropriate services and value for money.</w:t>
      </w:r>
    </w:p>
    <w:p w14:paraId="0C099E56" w14:textId="77777777" w:rsidR="00A44EA5" w:rsidRPr="000902C1" w:rsidRDefault="00A44EA5" w:rsidP="006C1EEF">
      <w:pPr>
        <w:numPr>
          <w:ilvl w:val="1"/>
          <w:numId w:val="29"/>
        </w:numPr>
        <w:spacing w:before="0" w:after="200" w:line="276" w:lineRule="auto"/>
      </w:pPr>
      <w:r w:rsidRPr="000902C1">
        <w:t>The system of internal control is a significant part of that framework and is designed to manage risk to a reasonable and foreseeable level. It cannot eliminate all risk of failure to achieve policies, aims and objectives; it can therefore only provide reasonable and not absolute assurance of effectiveness. The system of internal control is based on an ongoing process designed to identify and prioritise the risks to the achievement of the Chief Constable’s policies, aims and objectives, to evaluate the likelihood of those risks being realised and the impact should they be realised, to manage them effectively, efficiently and economically.</w:t>
      </w:r>
    </w:p>
    <w:p w14:paraId="680BF958" w14:textId="77777777" w:rsidR="00A44EA5" w:rsidRPr="000902C1" w:rsidRDefault="00A44EA5" w:rsidP="006C1EEF">
      <w:pPr>
        <w:numPr>
          <w:ilvl w:val="1"/>
          <w:numId w:val="29"/>
        </w:numPr>
        <w:spacing w:before="0" w:after="200" w:line="276" w:lineRule="auto"/>
      </w:pPr>
      <w:r w:rsidRPr="000902C1">
        <w:t>The governance framework has been in place for the year ended 31 March 202</w:t>
      </w:r>
      <w:r>
        <w:t>1</w:t>
      </w:r>
      <w:r w:rsidRPr="000902C1">
        <w:t xml:space="preserve"> and up to the date of approval of the statement of accounts.</w:t>
      </w:r>
    </w:p>
    <w:p w14:paraId="2E699656" w14:textId="77777777" w:rsidR="00A44EA5" w:rsidRPr="000902C1" w:rsidRDefault="00A44EA5" w:rsidP="006C1EEF">
      <w:pPr>
        <w:numPr>
          <w:ilvl w:val="0"/>
          <w:numId w:val="29"/>
        </w:numPr>
        <w:spacing w:before="0" w:after="200" w:line="276" w:lineRule="auto"/>
        <w:rPr>
          <w:b/>
        </w:rPr>
      </w:pPr>
      <w:r w:rsidRPr="000902C1">
        <w:rPr>
          <w:b/>
        </w:rPr>
        <w:t>The Governance Framework</w:t>
      </w:r>
    </w:p>
    <w:p w14:paraId="23B93444" w14:textId="77777777" w:rsidR="00A44EA5" w:rsidRPr="000902C1" w:rsidRDefault="00A44EA5" w:rsidP="006C1EEF">
      <w:pPr>
        <w:numPr>
          <w:ilvl w:val="1"/>
          <w:numId w:val="29"/>
        </w:numPr>
        <w:spacing w:before="0" w:after="200" w:line="276" w:lineRule="auto"/>
      </w:pPr>
      <w:r w:rsidRPr="000902C1">
        <w:t xml:space="preserve">By law the Chief Constable is responsible for operational policing matters, the direction and control of police personnel, and for putting in place proper arrangements for the governance of Lincolnshire Police. It is, however, the Commissioner who is required to hold him to account for the exercise of those functions and those of the persons under his direction and control. This is done in a manner that recognises the commitment of the Commissioner and Chief Constable to abide by the working </w:t>
      </w:r>
      <w:r w:rsidRPr="000902C1">
        <w:lastRenderedPageBreak/>
        <w:t>principles of the Policing Protocol as set out in the Schedule to the Policing Protocol Order 2011.</w:t>
      </w:r>
    </w:p>
    <w:p w14:paraId="1316D213" w14:textId="77777777" w:rsidR="00A44EA5" w:rsidRPr="000902C1" w:rsidRDefault="00A44EA5" w:rsidP="006C1EEF">
      <w:pPr>
        <w:numPr>
          <w:ilvl w:val="1"/>
          <w:numId w:val="29"/>
        </w:numPr>
        <w:spacing w:before="0" w:after="200" w:line="276" w:lineRule="auto"/>
      </w:pPr>
      <w:r w:rsidRPr="000902C1">
        <w:t xml:space="preserve">The key elements of the systems and processes that comprise the governance arrangements in place for the Chief Constable are: </w:t>
      </w:r>
    </w:p>
    <w:p w14:paraId="6D85CD4F" w14:textId="77777777" w:rsidR="00A44EA5" w:rsidRPr="000902C1" w:rsidRDefault="00A44EA5" w:rsidP="006C1EEF">
      <w:pPr>
        <w:numPr>
          <w:ilvl w:val="0"/>
          <w:numId w:val="21"/>
        </w:numPr>
        <w:spacing w:before="0" w:after="200" w:line="276" w:lineRule="auto"/>
        <w:ind w:left="993" w:hanging="284"/>
      </w:pPr>
      <w:r w:rsidRPr="000902C1">
        <w:t>Identifying and communicating the Operational Policing Plan, purpose and intended outcomes; the Plan is built from four elements:</w:t>
      </w:r>
    </w:p>
    <w:p w14:paraId="4122488F" w14:textId="77777777" w:rsidR="00A44EA5" w:rsidRPr="000902C1" w:rsidRDefault="00A44EA5" w:rsidP="006C1EEF">
      <w:pPr>
        <w:numPr>
          <w:ilvl w:val="1"/>
          <w:numId w:val="21"/>
        </w:numPr>
        <w:spacing w:before="0" w:after="200" w:line="276" w:lineRule="auto"/>
        <w:ind w:left="1276" w:hanging="283"/>
      </w:pPr>
      <w:r w:rsidRPr="000902C1">
        <w:t xml:space="preserve">The Police and Crime Commissioner’s Police and Crime </w:t>
      </w:r>
      <w:proofErr w:type="gramStart"/>
      <w:r w:rsidRPr="000902C1">
        <w:t>Plan</w:t>
      </w:r>
      <w:r>
        <w:t>;</w:t>
      </w:r>
      <w:proofErr w:type="gramEnd"/>
    </w:p>
    <w:p w14:paraId="5B466F56" w14:textId="77777777" w:rsidR="00A44EA5" w:rsidRPr="000902C1" w:rsidRDefault="00A44EA5" w:rsidP="006C1EEF">
      <w:pPr>
        <w:numPr>
          <w:ilvl w:val="1"/>
          <w:numId w:val="21"/>
        </w:numPr>
        <w:spacing w:before="0" w:after="200" w:line="276" w:lineRule="auto"/>
        <w:ind w:left="1276" w:hanging="283"/>
      </w:pPr>
      <w:r w:rsidRPr="000902C1">
        <w:t xml:space="preserve">The Chief Constable’s Strategic Plan – </w:t>
      </w:r>
      <w:r w:rsidRPr="009D41EF">
        <w:t>“</w:t>
      </w:r>
      <w:r>
        <w:t>Making Lincolnshire Safe</w:t>
      </w:r>
      <w:proofErr w:type="gramStart"/>
      <w:r w:rsidRPr="000902C1">
        <w:t>”</w:t>
      </w:r>
      <w:r>
        <w:t>;</w:t>
      </w:r>
      <w:proofErr w:type="gramEnd"/>
    </w:p>
    <w:p w14:paraId="382A2AD5" w14:textId="77777777" w:rsidR="00A44EA5" w:rsidRPr="000902C1" w:rsidRDefault="00A44EA5" w:rsidP="006C1EEF">
      <w:pPr>
        <w:numPr>
          <w:ilvl w:val="1"/>
          <w:numId w:val="21"/>
        </w:numPr>
        <w:spacing w:before="0" w:after="200" w:line="276" w:lineRule="auto"/>
        <w:ind w:left="1276" w:hanging="283"/>
      </w:pPr>
      <w:r w:rsidRPr="000902C1">
        <w:t xml:space="preserve">The national Strategic Policing </w:t>
      </w:r>
      <w:proofErr w:type="gramStart"/>
      <w:r w:rsidRPr="000902C1">
        <w:t>Requirement</w:t>
      </w:r>
      <w:r>
        <w:t>;</w:t>
      </w:r>
      <w:proofErr w:type="gramEnd"/>
    </w:p>
    <w:p w14:paraId="44B9F922" w14:textId="77777777" w:rsidR="00A44EA5" w:rsidRPr="000902C1" w:rsidRDefault="00A44EA5" w:rsidP="006C1EEF">
      <w:pPr>
        <w:numPr>
          <w:ilvl w:val="1"/>
          <w:numId w:val="21"/>
        </w:numPr>
        <w:spacing w:before="0" w:after="200" w:line="276" w:lineRule="auto"/>
        <w:ind w:left="1276" w:hanging="283"/>
      </w:pPr>
      <w:r w:rsidRPr="000902C1">
        <w:t>The Community Safety Partnership Control Strategy</w:t>
      </w:r>
      <w:r>
        <w:t>.</w:t>
      </w:r>
    </w:p>
    <w:p w14:paraId="2D975955" w14:textId="77777777" w:rsidR="00A44EA5" w:rsidRPr="000902C1" w:rsidRDefault="00A44EA5" w:rsidP="006C1EEF">
      <w:pPr>
        <w:numPr>
          <w:ilvl w:val="0"/>
          <w:numId w:val="21"/>
        </w:numPr>
        <w:spacing w:before="0" w:after="200" w:line="276" w:lineRule="auto"/>
        <w:ind w:left="993" w:hanging="284"/>
      </w:pPr>
      <w:r w:rsidRPr="000902C1">
        <w:t xml:space="preserve">Measuring the quality of services for users, for ensuring they are delivered in accordance with the Chief Constable’s objectives and for ensuring that they represent the best use of </w:t>
      </w:r>
      <w:proofErr w:type="gramStart"/>
      <w:r w:rsidRPr="000902C1">
        <w:t>resources;</w:t>
      </w:r>
      <w:proofErr w:type="gramEnd"/>
    </w:p>
    <w:p w14:paraId="224ACC66" w14:textId="77777777" w:rsidR="00A44EA5" w:rsidRPr="000902C1" w:rsidRDefault="00A44EA5" w:rsidP="006C1EEF">
      <w:pPr>
        <w:numPr>
          <w:ilvl w:val="0"/>
          <w:numId w:val="21"/>
        </w:numPr>
        <w:spacing w:before="0" w:after="200" w:line="276" w:lineRule="auto"/>
        <w:ind w:left="993" w:hanging="284"/>
      </w:pPr>
      <w:r w:rsidRPr="000902C1">
        <w:t xml:space="preserve">Defining and documenting the roles and responsibilities of the Chief Constable and the Senior Officers, setting out clear delegation arrangements and protocols for effective communication, and arrangements for challenging and scrutinising Force </w:t>
      </w:r>
      <w:proofErr w:type="gramStart"/>
      <w:r w:rsidRPr="000902C1">
        <w:t>activity;</w:t>
      </w:r>
      <w:proofErr w:type="gramEnd"/>
    </w:p>
    <w:p w14:paraId="2A903993" w14:textId="77777777" w:rsidR="00A44EA5" w:rsidRPr="000902C1" w:rsidRDefault="00A44EA5" w:rsidP="006C1EEF">
      <w:pPr>
        <w:numPr>
          <w:ilvl w:val="0"/>
          <w:numId w:val="21"/>
        </w:numPr>
        <w:spacing w:before="0" w:after="200" w:line="276" w:lineRule="auto"/>
        <w:ind w:left="993" w:hanging="284"/>
      </w:pPr>
      <w:r w:rsidRPr="000902C1">
        <w:t xml:space="preserve">Developing, communicating and embedding codes of conduct, defining the standards of behaviour for officers and </w:t>
      </w:r>
      <w:proofErr w:type="gramStart"/>
      <w:r w:rsidRPr="000902C1">
        <w:t>staff;</w:t>
      </w:r>
      <w:proofErr w:type="gramEnd"/>
    </w:p>
    <w:p w14:paraId="79FD920B" w14:textId="77777777" w:rsidR="00A44EA5" w:rsidRPr="000902C1" w:rsidRDefault="00A44EA5" w:rsidP="006C1EEF">
      <w:pPr>
        <w:numPr>
          <w:ilvl w:val="0"/>
          <w:numId w:val="21"/>
        </w:numPr>
        <w:spacing w:before="0" w:after="200" w:line="276" w:lineRule="auto"/>
        <w:ind w:left="993" w:hanging="284"/>
      </w:pPr>
      <w:r w:rsidRPr="000902C1">
        <w:t xml:space="preserve">Reviewing and updating standing orders, standing financial instructions, a scheme of delegation and supporting procedure notes/manuals, which clearly define how decisions are taken and the processes and controls required to manage risks and </w:t>
      </w:r>
      <w:proofErr w:type="gramStart"/>
      <w:r w:rsidRPr="000902C1">
        <w:t>resources;</w:t>
      </w:r>
      <w:proofErr w:type="gramEnd"/>
    </w:p>
    <w:p w14:paraId="0FD8A171" w14:textId="77777777" w:rsidR="00A44EA5" w:rsidRPr="000902C1" w:rsidRDefault="00A44EA5" w:rsidP="006C1EEF">
      <w:pPr>
        <w:numPr>
          <w:ilvl w:val="0"/>
          <w:numId w:val="21"/>
        </w:numPr>
        <w:spacing w:before="0" w:after="200" w:line="276" w:lineRule="auto"/>
        <w:ind w:left="993" w:hanging="284"/>
      </w:pPr>
      <w:r w:rsidRPr="000902C1">
        <w:t xml:space="preserve">Undertaking the core functions of an audit committee, as identified in CIPFA’s Audit Committee – Practical Guidance for Local Authorities; - Delivering good governance in local government: Guidance note for </w:t>
      </w:r>
      <w:proofErr w:type="gramStart"/>
      <w:r w:rsidRPr="000902C1">
        <w:t>Police;</w:t>
      </w:r>
      <w:proofErr w:type="gramEnd"/>
    </w:p>
    <w:p w14:paraId="04B61FD5" w14:textId="77777777" w:rsidR="00A44EA5" w:rsidRPr="000902C1" w:rsidRDefault="00A44EA5" w:rsidP="006C1EEF">
      <w:pPr>
        <w:numPr>
          <w:ilvl w:val="0"/>
          <w:numId w:val="21"/>
        </w:numPr>
        <w:spacing w:before="0" w:after="200" w:line="276" w:lineRule="auto"/>
        <w:ind w:left="993" w:hanging="284"/>
      </w:pPr>
      <w:r w:rsidRPr="000902C1">
        <w:t xml:space="preserve">Ensuring compliance with relevant laws and regulations, internal policies and procedures, and that expenditure is </w:t>
      </w:r>
      <w:proofErr w:type="gramStart"/>
      <w:r w:rsidRPr="000902C1">
        <w:t>lawful;</w:t>
      </w:r>
      <w:proofErr w:type="gramEnd"/>
      <w:r w:rsidRPr="000902C1">
        <w:t xml:space="preserve"> </w:t>
      </w:r>
    </w:p>
    <w:p w14:paraId="59EFCF32" w14:textId="77777777" w:rsidR="00A44EA5" w:rsidRPr="000902C1" w:rsidRDefault="00A44EA5" w:rsidP="006C1EEF">
      <w:pPr>
        <w:numPr>
          <w:ilvl w:val="0"/>
          <w:numId w:val="21"/>
        </w:numPr>
        <w:spacing w:before="0" w:after="200" w:line="276" w:lineRule="auto"/>
        <w:ind w:left="993" w:hanging="284"/>
      </w:pPr>
      <w:r w:rsidRPr="000902C1">
        <w:t xml:space="preserve">Whistle blowing and for receiving, investigating, and reporting upon complaints from the public, and other </w:t>
      </w:r>
      <w:proofErr w:type="gramStart"/>
      <w:r w:rsidRPr="000902C1">
        <w:t>stakeholders;</w:t>
      </w:r>
      <w:proofErr w:type="gramEnd"/>
    </w:p>
    <w:p w14:paraId="5FECA06E" w14:textId="77777777" w:rsidR="00A44EA5" w:rsidRPr="000902C1" w:rsidRDefault="00A44EA5" w:rsidP="006C1EEF">
      <w:pPr>
        <w:numPr>
          <w:ilvl w:val="0"/>
          <w:numId w:val="21"/>
        </w:numPr>
        <w:spacing w:before="0" w:after="200" w:line="276" w:lineRule="auto"/>
        <w:ind w:left="993" w:hanging="284"/>
      </w:pPr>
      <w:r w:rsidRPr="000902C1">
        <w:t xml:space="preserve">Determining the conditions of employment and remuneration of officers and staff, within appropriate national </w:t>
      </w:r>
      <w:proofErr w:type="gramStart"/>
      <w:r w:rsidRPr="000902C1">
        <w:t>frameworks;</w:t>
      </w:r>
      <w:proofErr w:type="gramEnd"/>
    </w:p>
    <w:p w14:paraId="13D3920D" w14:textId="77777777" w:rsidR="00A44EA5" w:rsidRPr="000902C1" w:rsidRDefault="00A44EA5" w:rsidP="006C1EEF">
      <w:pPr>
        <w:numPr>
          <w:ilvl w:val="0"/>
          <w:numId w:val="22"/>
        </w:numPr>
        <w:spacing w:before="0" w:after="200" w:line="276" w:lineRule="auto"/>
        <w:ind w:left="993" w:hanging="284"/>
      </w:pPr>
      <w:r w:rsidRPr="000902C1">
        <w:t xml:space="preserve">Identifying the development needs of officers, staff and members of G4S staff working on the Lincolnshire Police contract in relation to their roles, supported by appropriate training and linked to the priorities of the </w:t>
      </w:r>
      <w:proofErr w:type="gramStart"/>
      <w:r w:rsidRPr="000902C1">
        <w:t>Force;</w:t>
      </w:r>
      <w:proofErr w:type="gramEnd"/>
      <w:r w:rsidRPr="000902C1">
        <w:t xml:space="preserve"> </w:t>
      </w:r>
    </w:p>
    <w:p w14:paraId="3696BA64" w14:textId="77777777" w:rsidR="00A44EA5" w:rsidRPr="000902C1" w:rsidRDefault="00A44EA5" w:rsidP="006C1EEF">
      <w:pPr>
        <w:numPr>
          <w:ilvl w:val="0"/>
          <w:numId w:val="22"/>
        </w:numPr>
        <w:spacing w:before="0" w:after="200" w:line="276" w:lineRule="auto"/>
        <w:ind w:left="993" w:hanging="284"/>
      </w:pPr>
      <w:r w:rsidRPr="000902C1">
        <w:lastRenderedPageBreak/>
        <w:t xml:space="preserve">Establishing clear channels of communication with all sections of the community and other stakeholders, ensuring accountability and encouraging open </w:t>
      </w:r>
      <w:proofErr w:type="gramStart"/>
      <w:r w:rsidRPr="000902C1">
        <w:t>consultation;</w:t>
      </w:r>
      <w:proofErr w:type="gramEnd"/>
    </w:p>
    <w:p w14:paraId="4F79549C" w14:textId="77777777" w:rsidR="00A44EA5" w:rsidRPr="000902C1" w:rsidRDefault="00A44EA5" w:rsidP="006C1EEF">
      <w:pPr>
        <w:numPr>
          <w:ilvl w:val="0"/>
          <w:numId w:val="22"/>
        </w:numPr>
        <w:spacing w:before="0" w:after="200" w:line="276" w:lineRule="auto"/>
        <w:ind w:left="993" w:hanging="284"/>
      </w:pPr>
      <w:r w:rsidRPr="000902C1">
        <w:t xml:space="preserve">Incorporating good governance arrangements in respect of partnerships and other group working and reflecting these in the overall governance </w:t>
      </w:r>
      <w:proofErr w:type="gramStart"/>
      <w:r w:rsidRPr="000902C1">
        <w:t>arrangements;</w:t>
      </w:r>
      <w:proofErr w:type="gramEnd"/>
      <w:r w:rsidRPr="000902C1">
        <w:t xml:space="preserve">  </w:t>
      </w:r>
    </w:p>
    <w:p w14:paraId="7CAFCD0B" w14:textId="77777777" w:rsidR="00A44EA5" w:rsidRPr="000902C1" w:rsidRDefault="00A44EA5" w:rsidP="006C1EEF">
      <w:pPr>
        <w:numPr>
          <w:ilvl w:val="0"/>
          <w:numId w:val="22"/>
        </w:numPr>
        <w:spacing w:before="0" w:after="200" w:line="276" w:lineRule="auto"/>
        <w:ind w:left="993" w:hanging="284"/>
      </w:pPr>
      <w:r w:rsidRPr="000902C1">
        <w:t>Preparedness for dealing with emergency situations.</w:t>
      </w:r>
    </w:p>
    <w:p w14:paraId="7F5A202B" w14:textId="77777777" w:rsidR="00A44EA5" w:rsidRPr="000902C1" w:rsidRDefault="00A44EA5" w:rsidP="006C1EEF">
      <w:pPr>
        <w:numPr>
          <w:ilvl w:val="1"/>
          <w:numId w:val="29"/>
        </w:numPr>
        <w:spacing w:before="0" w:after="200" w:line="276" w:lineRule="auto"/>
      </w:pPr>
      <w:r w:rsidRPr="000902C1">
        <w:t>This section describes the key elements of the systems and processes of the governance arrangements that have been put in place by the Force.  In doing so, it reflects the overarching structures that have been developed to deliver objectives and manage risk:</w:t>
      </w:r>
    </w:p>
    <w:p w14:paraId="3F911785" w14:textId="77777777" w:rsidR="00A44EA5" w:rsidRPr="000902C1" w:rsidRDefault="00A44EA5" w:rsidP="006C1EEF">
      <w:pPr>
        <w:numPr>
          <w:ilvl w:val="0"/>
          <w:numId w:val="23"/>
        </w:numPr>
        <w:spacing w:before="0" w:after="200" w:line="276" w:lineRule="auto"/>
        <w:ind w:left="993" w:hanging="284"/>
      </w:pPr>
      <w:r w:rsidRPr="000902C1">
        <w:t xml:space="preserve">Processes for setting objectives and targets that support the policing priorities outlined in the Police and Crime Plan, including reporting to the Commissioner. This is done in a manner that recognises the commitment of the Chief Constable to abide by the working principles of the Policing </w:t>
      </w:r>
      <w:proofErr w:type="gramStart"/>
      <w:r w:rsidRPr="000902C1">
        <w:t>Protocol;</w:t>
      </w:r>
      <w:proofErr w:type="gramEnd"/>
    </w:p>
    <w:p w14:paraId="3C401392" w14:textId="77777777" w:rsidR="00A44EA5" w:rsidRPr="000902C1" w:rsidRDefault="00A44EA5" w:rsidP="006C1EEF">
      <w:pPr>
        <w:numPr>
          <w:ilvl w:val="0"/>
          <w:numId w:val="23"/>
        </w:numPr>
        <w:spacing w:before="0" w:after="200" w:line="276" w:lineRule="auto"/>
        <w:ind w:left="993" w:hanging="284"/>
      </w:pPr>
      <w:r w:rsidRPr="000902C1">
        <w:t xml:space="preserve">An operational policing plan is produced in response to the Commissioner’s </w:t>
      </w:r>
      <w:proofErr w:type="gramStart"/>
      <w:r w:rsidRPr="000902C1">
        <w:t>plan;</w:t>
      </w:r>
      <w:proofErr w:type="gramEnd"/>
    </w:p>
    <w:p w14:paraId="013BA21B" w14:textId="74A83A70" w:rsidR="00A44EA5" w:rsidRPr="000902C1" w:rsidRDefault="00A44EA5" w:rsidP="006C1EEF">
      <w:pPr>
        <w:numPr>
          <w:ilvl w:val="0"/>
          <w:numId w:val="23"/>
        </w:numPr>
        <w:spacing w:before="0" w:after="200" w:line="276" w:lineRule="auto"/>
        <w:ind w:left="993" w:hanging="284"/>
      </w:pPr>
      <w:r w:rsidRPr="000902C1">
        <w:t xml:space="preserve">The tactical tasking and coordinating process is conducted in line with the National Intelligence Model including Daily Management Meetings with operational managers, Area Tasking, Force Tasking and Regional Tasking meetings which address both the Force objectives and emerging operational risk </w:t>
      </w:r>
      <w:proofErr w:type="gramStart"/>
      <w:r w:rsidRPr="000902C1">
        <w:t>issues;</w:t>
      </w:r>
      <w:proofErr w:type="gramEnd"/>
    </w:p>
    <w:p w14:paraId="67C6A605" w14:textId="77777777" w:rsidR="00A44EA5" w:rsidRPr="000902C1" w:rsidRDefault="00A44EA5" w:rsidP="006C1EEF">
      <w:pPr>
        <w:numPr>
          <w:ilvl w:val="0"/>
          <w:numId w:val="23"/>
        </w:numPr>
        <w:spacing w:before="0" w:after="200" w:line="276" w:lineRule="auto"/>
        <w:ind w:left="993" w:hanging="284"/>
      </w:pPr>
      <w:r w:rsidRPr="000902C1">
        <w:t xml:space="preserve">Operational Commanders conference where operational matters can be discussed, risks identified and solutions </w:t>
      </w:r>
      <w:proofErr w:type="gramStart"/>
      <w:r w:rsidRPr="000902C1">
        <w:t>found;</w:t>
      </w:r>
      <w:proofErr w:type="gramEnd"/>
    </w:p>
    <w:p w14:paraId="4ADC0135" w14:textId="77777777" w:rsidR="00A44EA5" w:rsidRPr="000902C1" w:rsidRDefault="00A44EA5" w:rsidP="006C1EEF">
      <w:pPr>
        <w:numPr>
          <w:ilvl w:val="0"/>
          <w:numId w:val="23"/>
        </w:numPr>
        <w:spacing w:before="0" w:after="200" w:line="276" w:lineRule="auto"/>
        <w:ind w:left="993" w:hanging="284"/>
      </w:pPr>
      <w:r w:rsidRPr="000902C1">
        <w:t xml:space="preserve">The force engages with the National Police Chiefs Council to ensure that standards defined in the Strategic Policing requirement are met and the operational response from Lincolnshire Police is capable of adding to the national effort to meet the extremis needs of the </w:t>
      </w:r>
      <w:proofErr w:type="gramStart"/>
      <w:r w:rsidRPr="000902C1">
        <w:t>country;</w:t>
      </w:r>
      <w:proofErr w:type="gramEnd"/>
    </w:p>
    <w:p w14:paraId="75272910" w14:textId="77777777" w:rsidR="00A44EA5" w:rsidRPr="000902C1" w:rsidRDefault="00A44EA5" w:rsidP="006C1EEF">
      <w:pPr>
        <w:numPr>
          <w:ilvl w:val="0"/>
          <w:numId w:val="23"/>
        </w:numPr>
        <w:spacing w:before="0" w:after="200" w:line="276" w:lineRule="auto"/>
        <w:ind w:left="993" w:hanging="284"/>
      </w:pPr>
      <w:r w:rsidRPr="000902C1">
        <w:t>The Community Safety Partnership Control Strategy.</w:t>
      </w:r>
    </w:p>
    <w:p w14:paraId="7A5F50B5" w14:textId="77777777" w:rsidR="00A44EA5" w:rsidRPr="000902C1" w:rsidRDefault="00A44EA5" w:rsidP="006C1EEF">
      <w:pPr>
        <w:numPr>
          <w:ilvl w:val="1"/>
          <w:numId w:val="29"/>
        </w:numPr>
        <w:spacing w:before="0" w:after="200" w:line="276" w:lineRule="auto"/>
      </w:pPr>
      <w:r w:rsidRPr="000902C1">
        <w:t>Decision making structures for establishing priorities and considering strategic issues facing the Force:</w:t>
      </w:r>
    </w:p>
    <w:p w14:paraId="35A8205F" w14:textId="77777777" w:rsidR="00A44EA5" w:rsidRPr="000902C1" w:rsidRDefault="00A44EA5" w:rsidP="006C1EEF">
      <w:pPr>
        <w:numPr>
          <w:ilvl w:val="0"/>
          <w:numId w:val="24"/>
        </w:numPr>
        <w:spacing w:before="0" w:after="200" w:line="276" w:lineRule="auto"/>
        <w:ind w:hanging="278"/>
      </w:pPr>
      <w:r w:rsidRPr="000902C1">
        <w:t xml:space="preserve">Internal departmental management teams establishing business </w:t>
      </w:r>
      <w:proofErr w:type="gramStart"/>
      <w:r w:rsidRPr="000902C1">
        <w:t>plans;</w:t>
      </w:r>
      <w:proofErr w:type="gramEnd"/>
    </w:p>
    <w:p w14:paraId="0DEEB6A7" w14:textId="77777777" w:rsidR="00A44EA5" w:rsidRPr="000902C1" w:rsidRDefault="00A44EA5" w:rsidP="006C1EEF">
      <w:pPr>
        <w:numPr>
          <w:ilvl w:val="0"/>
          <w:numId w:val="24"/>
        </w:numPr>
        <w:spacing w:before="0" w:after="200" w:line="276" w:lineRule="auto"/>
        <w:ind w:hanging="278"/>
      </w:pPr>
      <w:r w:rsidRPr="000902C1">
        <w:t xml:space="preserve">Chief Officer Group (COG) and </w:t>
      </w:r>
      <w:r w:rsidRPr="009D41EF">
        <w:t xml:space="preserve">the Force Strategy </w:t>
      </w:r>
      <w:proofErr w:type="gramStart"/>
      <w:r w:rsidRPr="009D41EF">
        <w:t>Board</w:t>
      </w:r>
      <w:r w:rsidRPr="000902C1">
        <w:t>;</w:t>
      </w:r>
      <w:proofErr w:type="gramEnd"/>
    </w:p>
    <w:p w14:paraId="19E1EBDA" w14:textId="77777777" w:rsidR="00A44EA5" w:rsidRPr="000902C1" w:rsidRDefault="00A44EA5" w:rsidP="006C1EEF">
      <w:pPr>
        <w:numPr>
          <w:ilvl w:val="0"/>
          <w:numId w:val="24"/>
        </w:numPr>
        <w:spacing w:before="0" w:after="200" w:line="276" w:lineRule="auto"/>
        <w:ind w:hanging="278"/>
      </w:pPr>
      <w:r w:rsidRPr="000902C1">
        <w:t xml:space="preserve">Chief Officers share and discuss key issues with senior </w:t>
      </w:r>
      <w:proofErr w:type="gramStart"/>
      <w:r w:rsidRPr="000902C1">
        <w:t>staff;</w:t>
      </w:r>
      <w:proofErr w:type="gramEnd"/>
    </w:p>
    <w:p w14:paraId="0B21D31B" w14:textId="77777777" w:rsidR="00A44EA5" w:rsidRPr="000902C1" w:rsidRDefault="00A44EA5" w:rsidP="006C1EEF">
      <w:pPr>
        <w:numPr>
          <w:ilvl w:val="0"/>
          <w:numId w:val="24"/>
        </w:numPr>
        <w:spacing w:before="0" w:after="200" w:line="276" w:lineRule="auto"/>
        <w:ind w:hanging="278"/>
      </w:pPr>
      <w:r w:rsidRPr="000902C1">
        <w:t xml:space="preserve">Reporting to the Police and Crime Strategic Board (PCSB); monthly monitoring of the financial plans to COG and PCSB and an annual governance report is provided to the PCC, detailing the years’ activity </w:t>
      </w:r>
      <w:proofErr w:type="gramStart"/>
      <w:r w:rsidRPr="000902C1">
        <w:t>with regard to</w:t>
      </w:r>
      <w:proofErr w:type="gramEnd"/>
      <w:r w:rsidRPr="000902C1">
        <w:t xml:space="preserve"> the financial and contract regulations, procurement, insurance, debtors and treasury management, and providing an overview of decisions made and their justification. </w:t>
      </w:r>
      <w:proofErr w:type="gramStart"/>
      <w:r w:rsidRPr="000902C1">
        <w:t>Also</w:t>
      </w:r>
      <w:proofErr w:type="gramEnd"/>
      <w:r w:rsidRPr="000902C1">
        <w:t xml:space="preserve"> the Procurement, ICT, HR and Asset Strategies are examined by this Board;</w:t>
      </w:r>
    </w:p>
    <w:p w14:paraId="2BAC5C2C" w14:textId="77777777" w:rsidR="00A44EA5" w:rsidRPr="00FA2DF6" w:rsidRDefault="00A44EA5" w:rsidP="006C1EEF">
      <w:pPr>
        <w:numPr>
          <w:ilvl w:val="0"/>
          <w:numId w:val="24"/>
        </w:numPr>
        <w:spacing w:before="0" w:after="200" w:line="276" w:lineRule="auto"/>
        <w:ind w:hanging="278"/>
      </w:pPr>
      <w:r w:rsidRPr="00FA2DF6">
        <w:t xml:space="preserve">Policing Transformation </w:t>
      </w:r>
      <w:proofErr w:type="gramStart"/>
      <w:r w:rsidRPr="00FA2DF6">
        <w:t>Programme;</w:t>
      </w:r>
      <w:proofErr w:type="gramEnd"/>
    </w:p>
    <w:p w14:paraId="0E58C1A7" w14:textId="77777777" w:rsidR="00A44EA5" w:rsidRPr="000902C1" w:rsidRDefault="00A44EA5" w:rsidP="006C1EEF">
      <w:pPr>
        <w:numPr>
          <w:ilvl w:val="0"/>
          <w:numId w:val="24"/>
        </w:numPr>
        <w:spacing w:before="0" w:after="200" w:line="276" w:lineRule="auto"/>
        <w:ind w:hanging="278"/>
      </w:pPr>
      <w:r w:rsidRPr="000902C1">
        <w:lastRenderedPageBreak/>
        <w:t>Feedback from the public and other local stakeholders.</w:t>
      </w:r>
    </w:p>
    <w:p w14:paraId="7E09E9F2" w14:textId="5E700C2A" w:rsidR="00A44EA5" w:rsidRPr="00754431" w:rsidRDefault="007117D1" w:rsidP="006C1EEF">
      <w:pPr>
        <w:numPr>
          <w:ilvl w:val="1"/>
          <w:numId w:val="29"/>
        </w:numPr>
        <w:spacing w:before="0" w:after="200" w:line="276" w:lineRule="auto"/>
      </w:pPr>
      <w:r w:rsidRPr="00754431">
        <w:t>During 2020/21, t</w:t>
      </w:r>
      <w:r w:rsidR="00A44EA5" w:rsidRPr="00754431">
        <w:t>he Force operate</w:t>
      </w:r>
      <w:r w:rsidRPr="00754431">
        <w:t>d</w:t>
      </w:r>
      <w:r w:rsidR="00A44EA5" w:rsidRPr="00754431">
        <w:t xml:space="preserve"> a strategic decision-making board which </w:t>
      </w:r>
      <w:r w:rsidRPr="00754431">
        <w:t>was</w:t>
      </w:r>
      <w:r w:rsidR="00A44EA5" w:rsidRPr="00754431">
        <w:t xml:space="preserve"> the </w:t>
      </w:r>
      <w:r w:rsidRPr="00754431">
        <w:t xml:space="preserve">“Distinctively </w:t>
      </w:r>
      <w:proofErr w:type="gramStart"/>
      <w:r w:rsidRPr="00754431">
        <w:t xml:space="preserve">Lincolnshire” </w:t>
      </w:r>
      <w:r w:rsidR="00A44EA5" w:rsidRPr="00754431">
        <w:t xml:space="preserve"> Board</w:t>
      </w:r>
      <w:proofErr w:type="gramEnd"/>
      <w:r w:rsidR="00A44EA5" w:rsidRPr="00754431">
        <w:t xml:space="preserve"> .</w:t>
      </w:r>
      <w:r w:rsidR="00A44EA5" w:rsidRPr="007402EF">
        <w:t xml:space="preserve"> </w:t>
      </w:r>
      <w:r w:rsidR="00A44EA5" w:rsidRPr="00754431">
        <w:t xml:space="preserve">The </w:t>
      </w:r>
      <w:proofErr w:type="gramStart"/>
      <w:r w:rsidR="00A44EA5" w:rsidRPr="00754431">
        <w:t>Quality of Service</w:t>
      </w:r>
      <w:proofErr w:type="gramEnd"/>
      <w:r w:rsidR="00A44EA5" w:rsidRPr="00754431">
        <w:t xml:space="preserve"> Board, Wellbeing Board and Change Board operate</w:t>
      </w:r>
      <w:r w:rsidRPr="00754431">
        <w:t>d</w:t>
      </w:r>
      <w:r w:rsidR="00A44EA5" w:rsidRPr="00754431">
        <w:t xml:space="preserve"> as sub-committees of the </w:t>
      </w:r>
      <w:r w:rsidRPr="00754431">
        <w:t>DL</w:t>
      </w:r>
      <w:r w:rsidR="00A44EA5" w:rsidRPr="00754431">
        <w:t xml:space="preserve">, reporting by exception and referring significant decisions for approval.  The Terms of Reference of the </w:t>
      </w:r>
      <w:r w:rsidRPr="00754431">
        <w:t>DL</w:t>
      </w:r>
      <w:r w:rsidR="00A44EA5" w:rsidRPr="00754431">
        <w:t xml:space="preserve"> are:</w:t>
      </w:r>
    </w:p>
    <w:p w14:paraId="5D60F7A7" w14:textId="0B8F8FB6" w:rsidR="00A44EA5" w:rsidRPr="009D41EF" w:rsidRDefault="00A44EA5" w:rsidP="006C1EEF">
      <w:pPr>
        <w:numPr>
          <w:ilvl w:val="0"/>
          <w:numId w:val="19"/>
        </w:numPr>
        <w:spacing w:before="0" w:after="200" w:line="276" w:lineRule="auto"/>
        <w:ind w:left="993" w:hanging="284"/>
      </w:pPr>
      <w:r w:rsidRPr="009D41EF">
        <w:t xml:space="preserve">To provide long-term strategic direction and act as the decision-making body on significant decisions, working collaboratively with shared responsibility for the delivery of the force objectives, as set out in </w:t>
      </w:r>
      <w:proofErr w:type="gramStart"/>
      <w:r w:rsidRPr="009D41EF">
        <w:t xml:space="preserve">the </w:t>
      </w:r>
      <w:bookmarkStart w:id="31" w:name="_Hlk72146648"/>
      <w:r w:rsidR="007117D1">
        <w:t>”Distinctively</w:t>
      </w:r>
      <w:proofErr w:type="gramEnd"/>
      <w:r w:rsidR="007117D1">
        <w:t xml:space="preserve"> Lincolnshire”</w:t>
      </w:r>
      <w:r w:rsidRPr="009D41EF">
        <w:t xml:space="preserve"> </w:t>
      </w:r>
      <w:bookmarkEnd w:id="31"/>
      <w:r w:rsidRPr="009D41EF">
        <w:t>strategic plan;</w:t>
      </w:r>
    </w:p>
    <w:p w14:paraId="6C099C8E" w14:textId="1D88F48A" w:rsidR="00A44EA5" w:rsidRPr="003F216F" w:rsidRDefault="00A44EA5" w:rsidP="006C1EEF">
      <w:pPr>
        <w:numPr>
          <w:ilvl w:val="0"/>
          <w:numId w:val="19"/>
        </w:numPr>
        <w:spacing w:before="0" w:after="200" w:line="276" w:lineRule="auto"/>
        <w:ind w:left="993" w:hanging="284"/>
      </w:pPr>
      <w:r w:rsidRPr="009D41EF">
        <w:t xml:space="preserve">To monitor performance and delivery of </w:t>
      </w:r>
      <w:proofErr w:type="gramStart"/>
      <w:r w:rsidRPr="009D41EF">
        <w:t xml:space="preserve">the </w:t>
      </w:r>
      <w:r w:rsidR="007117D1">
        <w:t xml:space="preserve"> DL</w:t>
      </w:r>
      <w:proofErr w:type="gramEnd"/>
      <w:r w:rsidR="007117D1">
        <w:t xml:space="preserve"> </w:t>
      </w:r>
      <w:r w:rsidRPr="009D41EF">
        <w:t xml:space="preserve">strategic plan, holding to account those senior managers responsible for relevant Delivery </w:t>
      </w:r>
      <w:r w:rsidRPr="003F216F">
        <w:t>Plans and objectives;</w:t>
      </w:r>
    </w:p>
    <w:p w14:paraId="47C7DA16" w14:textId="77777777" w:rsidR="00A44EA5" w:rsidRPr="003F216F" w:rsidRDefault="00A44EA5" w:rsidP="006C1EEF">
      <w:pPr>
        <w:numPr>
          <w:ilvl w:val="0"/>
          <w:numId w:val="19"/>
        </w:numPr>
        <w:spacing w:before="0" w:after="200" w:line="276" w:lineRule="auto"/>
        <w:ind w:left="993" w:hanging="284"/>
      </w:pPr>
      <w:r w:rsidRPr="003F216F">
        <w:t xml:space="preserve">To consider, assess and direct activities (where relevant) around risk, equalities, partnerships and best value as they relate to Wellbeing and Quality of </w:t>
      </w:r>
      <w:proofErr w:type="gramStart"/>
      <w:r w:rsidRPr="003F216F">
        <w:t>Service;</w:t>
      </w:r>
      <w:proofErr w:type="gramEnd"/>
    </w:p>
    <w:p w14:paraId="59066A6A" w14:textId="77777777" w:rsidR="00A44EA5" w:rsidRPr="003F216F" w:rsidRDefault="00A44EA5" w:rsidP="006C1EEF">
      <w:pPr>
        <w:numPr>
          <w:ilvl w:val="0"/>
          <w:numId w:val="19"/>
        </w:numPr>
        <w:spacing w:before="0" w:after="200" w:line="276" w:lineRule="auto"/>
        <w:ind w:left="993" w:hanging="284"/>
      </w:pPr>
      <w:r w:rsidRPr="003F216F">
        <w:t xml:space="preserve">To consider risk, issues, recommendations and other matters escalated from operational </w:t>
      </w:r>
      <w:proofErr w:type="gramStart"/>
      <w:r w:rsidRPr="003F216F">
        <w:t>meetings;</w:t>
      </w:r>
      <w:proofErr w:type="gramEnd"/>
    </w:p>
    <w:p w14:paraId="662D37FA" w14:textId="2A1A072F" w:rsidR="00A44EA5" w:rsidRPr="003F216F" w:rsidRDefault="00A44EA5" w:rsidP="006C1EEF">
      <w:pPr>
        <w:numPr>
          <w:ilvl w:val="0"/>
          <w:numId w:val="19"/>
        </w:numPr>
        <w:spacing w:before="0" w:after="200" w:line="276" w:lineRule="auto"/>
        <w:ind w:left="993" w:hanging="284"/>
      </w:pPr>
      <w:r w:rsidRPr="003F216F">
        <w:t xml:space="preserve">To approve </w:t>
      </w:r>
      <w:r w:rsidR="007117D1">
        <w:rPr>
          <w:color w:val="auto"/>
        </w:rPr>
        <w:t xml:space="preserve">DL </w:t>
      </w:r>
      <w:r w:rsidRPr="003F216F">
        <w:t xml:space="preserve">performance reports to be provided to the </w:t>
      </w:r>
      <w:proofErr w:type="gramStart"/>
      <w:r w:rsidRPr="003F216F">
        <w:t>PCC;</w:t>
      </w:r>
      <w:proofErr w:type="gramEnd"/>
      <w:r w:rsidRPr="003F216F">
        <w:t xml:space="preserve"> </w:t>
      </w:r>
    </w:p>
    <w:p w14:paraId="6FC958FE" w14:textId="439260A1" w:rsidR="00A44EA5" w:rsidRDefault="00A44EA5" w:rsidP="006C1EEF">
      <w:pPr>
        <w:numPr>
          <w:ilvl w:val="0"/>
          <w:numId w:val="19"/>
        </w:numPr>
        <w:spacing w:before="0" w:after="200" w:line="276" w:lineRule="auto"/>
        <w:ind w:left="993" w:hanging="284"/>
      </w:pPr>
      <w:r w:rsidRPr="003F216F">
        <w:t xml:space="preserve">To periodically review </w:t>
      </w:r>
      <w:proofErr w:type="gramStart"/>
      <w:r w:rsidRPr="003F216F">
        <w:t xml:space="preserve">the </w:t>
      </w:r>
      <w:r w:rsidR="007117D1">
        <w:rPr>
          <w:color w:val="auto"/>
        </w:rPr>
        <w:t xml:space="preserve"> DL</w:t>
      </w:r>
      <w:proofErr w:type="gramEnd"/>
      <w:r w:rsidRPr="003F216F">
        <w:rPr>
          <w:color w:val="auto"/>
        </w:rPr>
        <w:t xml:space="preserve"> </w:t>
      </w:r>
      <w:r w:rsidRPr="003F216F">
        <w:t xml:space="preserve">strategy to ensure it remains current and relevant. </w:t>
      </w:r>
    </w:p>
    <w:p w14:paraId="6BA0B558" w14:textId="2E2D49CE" w:rsidR="00623870" w:rsidRDefault="007117D1" w:rsidP="007117D1">
      <w:pPr>
        <w:spacing w:before="0" w:after="200" w:line="276" w:lineRule="auto"/>
        <w:ind w:left="0"/>
      </w:pPr>
      <w:r>
        <w:t xml:space="preserve">Following publication of the Chief Constable’s </w:t>
      </w:r>
      <w:r w:rsidR="00623870">
        <w:t xml:space="preserve">new </w:t>
      </w:r>
      <w:r>
        <w:t>strategic plan “Making Lincolnshire Safe” in 2021</w:t>
      </w:r>
      <w:r w:rsidR="00623870">
        <w:t>/22</w:t>
      </w:r>
      <w:r>
        <w:t xml:space="preserve">, the governance structure of the force has undergone a significant change. </w:t>
      </w:r>
      <w:r w:rsidR="00623870">
        <w:t xml:space="preserve">An Executive Board will oversee delivery of the strategy as a whole and five new boards will operate as sub-committees of the Executive </w:t>
      </w:r>
      <w:r w:rsidR="006C162D">
        <w:t xml:space="preserve">Strategy </w:t>
      </w:r>
      <w:r w:rsidR="00623870">
        <w:t>Board</w:t>
      </w:r>
      <w:r w:rsidR="006C162D">
        <w:t xml:space="preserve">. </w:t>
      </w:r>
      <w:r w:rsidR="00623870">
        <w:t xml:space="preserve">The new boards </w:t>
      </w:r>
      <w:proofErr w:type="gramStart"/>
      <w:r w:rsidR="00623870">
        <w:t>are:-</w:t>
      </w:r>
      <w:proofErr w:type="gramEnd"/>
    </w:p>
    <w:p w14:paraId="5DFDAC96" w14:textId="1E4863DC" w:rsidR="007117D1" w:rsidRDefault="00623870" w:rsidP="00623870">
      <w:pPr>
        <w:pStyle w:val="ListParagraph"/>
        <w:numPr>
          <w:ilvl w:val="0"/>
          <w:numId w:val="54"/>
        </w:numPr>
        <w:spacing w:before="0" w:after="200" w:line="276" w:lineRule="auto"/>
      </w:pPr>
      <w:r>
        <w:t xml:space="preserve"> Performance Board</w:t>
      </w:r>
    </w:p>
    <w:p w14:paraId="62757294" w14:textId="77777777" w:rsidR="00623870" w:rsidRDefault="00623870" w:rsidP="00623870">
      <w:pPr>
        <w:pStyle w:val="ListParagraph"/>
        <w:numPr>
          <w:ilvl w:val="0"/>
          <w:numId w:val="54"/>
        </w:numPr>
        <w:spacing w:before="0" w:after="200" w:line="276" w:lineRule="auto"/>
      </w:pPr>
      <w:r>
        <w:t>Capability Board</w:t>
      </w:r>
    </w:p>
    <w:p w14:paraId="68D19819" w14:textId="77777777" w:rsidR="00623870" w:rsidRDefault="00623870" w:rsidP="00623870">
      <w:pPr>
        <w:pStyle w:val="ListParagraph"/>
        <w:numPr>
          <w:ilvl w:val="0"/>
          <w:numId w:val="54"/>
        </w:numPr>
        <w:spacing w:before="0" w:after="200" w:line="276" w:lineRule="auto"/>
      </w:pPr>
      <w:r>
        <w:t>People Board</w:t>
      </w:r>
    </w:p>
    <w:p w14:paraId="4B8478AC" w14:textId="77777777" w:rsidR="00623870" w:rsidRDefault="00623870" w:rsidP="00623870">
      <w:pPr>
        <w:pStyle w:val="ListParagraph"/>
        <w:numPr>
          <w:ilvl w:val="0"/>
          <w:numId w:val="54"/>
        </w:numPr>
        <w:spacing w:before="0" w:after="200" w:line="276" w:lineRule="auto"/>
      </w:pPr>
      <w:r>
        <w:t>Culture Board</w:t>
      </w:r>
    </w:p>
    <w:p w14:paraId="79342B61" w14:textId="77777777" w:rsidR="00623870" w:rsidRDefault="00623870" w:rsidP="00623870">
      <w:pPr>
        <w:pStyle w:val="ListParagraph"/>
        <w:numPr>
          <w:ilvl w:val="0"/>
          <w:numId w:val="54"/>
        </w:numPr>
        <w:spacing w:before="0" w:after="200" w:line="276" w:lineRule="auto"/>
      </w:pPr>
      <w:r>
        <w:t>Communities &amp; Partnerships Board.</w:t>
      </w:r>
    </w:p>
    <w:p w14:paraId="5A2BB953" w14:textId="245854AE" w:rsidR="00623870" w:rsidRPr="003F216F" w:rsidRDefault="00623870" w:rsidP="007402EF">
      <w:pPr>
        <w:spacing w:before="0" w:after="200" w:line="276" w:lineRule="auto"/>
      </w:pPr>
      <w:r>
        <w:t xml:space="preserve">These five Boards will each </w:t>
      </w:r>
      <w:r w:rsidR="006C162D">
        <w:t xml:space="preserve">manage performance against </w:t>
      </w:r>
      <w:r>
        <w:t>the relevant de</w:t>
      </w:r>
      <w:r w:rsidR="006C162D">
        <w:t>livery plans for their respective responsibilities</w:t>
      </w:r>
      <w:r>
        <w:t xml:space="preserve"> </w:t>
      </w:r>
      <w:r w:rsidR="006C162D">
        <w:t>and report by exception to the Executive Strategy Board.</w:t>
      </w:r>
    </w:p>
    <w:p w14:paraId="1A680D0D" w14:textId="77777777" w:rsidR="00A44EA5" w:rsidRPr="000902C1" w:rsidRDefault="00A44EA5" w:rsidP="006C1EEF">
      <w:pPr>
        <w:numPr>
          <w:ilvl w:val="1"/>
          <w:numId w:val="29"/>
        </w:numPr>
        <w:spacing w:before="0" w:after="200" w:line="276" w:lineRule="auto"/>
      </w:pPr>
      <w:r w:rsidRPr="000902C1">
        <w:t>Management of the Strategic Partnership Contract with G4S is performed by the Commercial Partnership Team. This forms part of the Joint Services arrangement with the Commissioner:</w:t>
      </w:r>
    </w:p>
    <w:p w14:paraId="24C95A1B" w14:textId="77777777" w:rsidR="00A44EA5" w:rsidRPr="000902C1" w:rsidRDefault="00A44EA5" w:rsidP="006C1EEF">
      <w:pPr>
        <w:numPr>
          <w:ilvl w:val="0"/>
          <w:numId w:val="20"/>
        </w:numPr>
        <w:spacing w:before="0" w:after="200" w:line="276" w:lineRule="auto"/>
        <w:ind w:left="993" w:hanging="284"/>
      </w:pPr>
      <w:r w:rsidRPr="000902C1">
        <w:t>Ensuring compliance with all relevant legislation and commitments/</w:t>
      </w:r>
      <w:proofErr w:type="gramStart"/>
      <w:r w:rsidRPr="000902C1">
        <w:t>obligations;</w:t>
      </w:r>
      <w:proofErr w:type="gramEnd"/>
    </w:p>
    <w:p w14:paraId="5B9281FE" w14:textId="77777777" w:rsidR="00A44EA5" w:rsidRPr="000902C1" w:rsidRDefault="00A44EA5" w:rsidP="006C1EEF">
      <w:pPr>
        <w:numPr>
          <w:ilvl w:val="0"/>
          <w:numId w:val="20"/>
        </w:numPr>
        <w:spacing w:before="0" w:after="200" w:line="276" w:lineRule="auto"/>
        <w:ind w:left="993" w:hanging="284"/>
      </w:pPr>
      <w:r w:rsidRPr="000902C1">
        <w:t>Performance scrutiny of the G4S contract is subject to its own legal schedule (Price Performance Mechanism – schedule 13</w:t>
      </w:r>
      <w:proofErr w:type="gramStart"/>
      <w:r w:rsidRPr="000902C1">
        <w:t>);</w:t>
      </w:r>
      <w:proofErr w:type="gramEnd"/>
    </w:p>
    <w:p w14:paraId="1E91D25B" w14:textId="77777777" w:rsidR="00A44EA5" w:rsidRPr="000902C1" w:rsidRDefault="00A44EA5" w:rsidP="006C1EEF">
      <w:pPr>
        <w:numPr>
          <w:ilvl w:val="0"/>
          <w:numId w:val="20"/>
        </w:numPr>
        <w:spacing w:before="0" w:after="200" w:line="276" w:lineRule="auto"/>
        <w:ind w:left="993" w:hanging="284"/>
      </w:pPr>
      <w:r w:rsidRPr="000902C1">
        <w:t xml:space="preserve">200 indicators used to monitor </w:t>
      </w:r>
      <w:proofErr w:type="gramStart"/>
      <w:r w:rsidRPr="000902C1">
        <w:t>performance;</w:t>
      </w:r>
      <w:proofErr w:type="gramEnd"/>
    </w:p>
    <w:p w14:paraId="5B3FA1CF" w14:textId="77777777" w:rsidR="00A44EA5" w:rsidRPr="000902C1" w:rsidRDefault="00A44EA5" w:rsidP="006C1EEF">
      <w:pPr>
        <w:numPr>
          <w:ilvl w:val="0"/>
          <w:numId w:val="20"/>
        </w:numPr>
        <w:spacing w:before="0" w:after="200" w:line="276" w:lineRule="auto"/>
        <w:ind w:left="993" w:hanging="284"/>
      </w:pPr>
      <w:r w:rsidRPr="000902C1">
        <w:t>Financial monitoring is reviewed against Schedule 14 (Pricing</w:t>
      </w:r>
      <w:proofErr w:type="gramStart"/>
      <w:r w:rsidRPr="000902C1">
        <w:t>);</w:t>
      </w:r>
      <w:proofErr w:type="gramEnd"/>
    </w:p>
    <w:p w14:paraId="332F573E" w14:textId="1A7533DD" w:rsidR="00A44EA5" w:rsidRDefault="00A44EA5" w:rsidP="006C1EEF">
      <w:pPr>
        <w:numPr>
          <w:ilvl w:val="0"/>
          <w:numId w:val="20"/>
        </w:numPr>
        <w:spacing w:before="0" w:after="200" w:line="276" w:lineRule="auto"/>
        <w:ind w:left="993" w:hanging="284"/>
      </w:pPr>
      <w:r w:rsidRPr="000902C1">
        <w:lastRenderedPageBreak/>
        <w:t xml:space="preserve">Performance is reviewed by the Transformation Management Board or the Performance and Delivery Board </w:t>
      </w:r>
      <w:proofErr w:type="gramStart"/>
      <w:r w:rsidRPr="000902C1">
        <w:t>on a monthly basis</w:t>
      </w:r>
      <w:proofErr w:type="gramEnd"/>
      <w:r w:rsidRPr="000902C1">
        <w:t>.</w:t>
      </w:r>
    </w:p>
    <w:p w14:paraId="1D535877" w14:textId="0CC3651A" w:rsidR="006C162D" w:rsidRPr="000902C1" w:rsidRDefault="006C162D" w:rsidP="007402EF">
      <w:pPr>
        <w:spacing w:before="0" w:after="200" w:line="276" w:lineRule="auto"/>
      </w:pPr>
      <w:r>
        <w:t>The Strategic Partnership contract will end on 31</w:t>
      </w:r>
      <w:r w:rsidRPr="007402EF">
        <w:rPr>
          <w:vertAlign w:val="superscript"/>
        </w:rPr>
        <w:t>st</w:t>
      </w:r>
      <w:r>
        <w:t xml:space="preserve"> March </w:t>
      </w:r>
      <w:proofErr w:type="gramStart"/>
      <w:r>
        <w:t>2022</w:t>
      </w:r>
      <w:proofErr w:type="gramEnd"/>
      <w:r>
        <w:t xml:space="preserve"> but the above arrangements will continue to manage business as usual until this date whilst the exit and transition to the new arrangements will be managed by the Future Services Programme (FSP) Board. The transition programme has a full governance structure with several working groups operating as sub-committees of the FSP Board and decision-making for each stage assigned to the appropriate level. </w:t>
      </w:r>
    </w:p>
    <w:p w14:paraId="3A32C595" w14:textId="77777777" w:rsidR="00A44EA5" w:rsidRPr="000902C1" w:rsidRDefault="00A44EA5" w:rsidP="006C1EEF">
      <w:pPr>
        <w:numPr>
          <w:ilvl w:val="1"/>
          <w:numId w:val="29"/>
        </w:numPr>
        <w:spacing w:before="0" w:after="200" w:line="276" w:lineRule="auto"/>
      </w:pPr>
      <w:r w:rsidRPr="000902C1">
        <w:t>There is a high level of external scrutiny of organisational affairs by a variety of bodies including:</w:t>
      </w:r>
    </w:p>
    <w:p w14:paraId="48D2B9B9" w14:textId="77777777" w:rsidR="00A44EA5" w:rsidRPr="000902C1" w:rsidRDefault="00A44EA5" w:rsidP="006C1EEF">
      <w:pPr>
        <w:numPr>
          <w:ilvl w:val="0"/>
          <w:numId w:val="25"/>
        </w:numPr>
        <w:spacing w:before="0" w:after="200" w:line="276" w:lineRule="auto"/>
        <w:ind w:left="993" w:hanging="284"/>
      </w:pPr>
      <w:r w:rsidRPr="000902C1">
        <w:t>Her Majesty’s Inspector of Constabulary and Fire &amp; Rescue Services (HMICFRS</w:t>
      </w:r>
      <w:proofErr w:type="gramStart"/>
      <w:r w:rsidRPr="000902C1">
        <w:t>);</w:t>
      </w:r>
      <w:proofErr w:type="gramEnd"/>
    </w:p>
    <w:p w14:paraId="572BCAD1" w14:textId="77777777" w:rsidR="00A44EA5" w:rsidRPr="000902C1" w:rsidRDefault="00A44EA5" w:rsidP="006C1EEF">
      <w:pPr>
        <w:numPr>
          <w:ilvl w:val="0"/>
          <w:numId w:val="25"/>
        </w:numPr>
        <w:spacing w:before="0" w:after="200" w:line="276" w:lineRule="auto"/>
        <w:ind w:left="993" w:hanging="284"/>
      </w:pPr>
      <w:r w:rsidRPr="000902C1">
        <w:t xml:space="preserve">External </w:t>
      </w:r>
      <w:proofErr w:type="gramStart"/>
      <w:r w:rsidRPr="000902C1">
        <w:t>Audit;</w:t>
      </w:r>
      <w:proofErr w:type="gramEnd"/>
    </w:p>
    <w:p w14:paraId="4610A13F" w14:textId="77777777" w:rsidR="00A44EA5" w:rsidRPr="000902C1" w:rsidRDefault="00A44EA5" w:rsidP="006C1EEF">
      <w:pPr>
        <w:numPr>
          <w:ilvl w:val="0"/>
          <w:numId w:val="25"/>
        </w:numPr>
        <w:spacing w:before="0" w:after="200" w:line="276" w:lineRule="auto"/>
        <w:ind w:left="993" w:hanging="284"/>
      </w:pPr>
      <w:r w:rsidRPr="000902C1">
        <w:t xml:space="preserve">HM Revenue and </w:t>
      </w:r>
      <w:proofErr w:type="gramStart"/>
      <w:r w:rsidRPr="000902C1">
        <w:t>Customs;</w:t>
      </w:r>
      <w:proofErr w:type="gramEnd"/>
    </w:p>
    <w:p w14:paraId="0706C841" w14:textId="77777777" w:rsidR="00A44EA5" w:rsidRPr="000902C1" w:rsidRDefault="00A44EA5" w:rsidP="006C1EEF">
      <w:pPr>
        <w:numPr>
          <w:ilvl w:val="0"/>
          <w:numId w:val="25"/>
        </w:numPr>
        <w:spacing w:before="0" w:after="200" w:line="276" w:lineRule="auto"/>
        <w:ind w:left="993" w:hanging="284"/>
      </w:pPr>
      <w:r w:rsidRPr="000902C1">
        <w:t xml:space="preserve">Internal </w:t>
      </w:r>
      <w:proofErr w:type="gramStart"/>
      <w:r w:rsidRPr="000902C1">
        <w:t>Audit;</w:t>
      </w:r>
      <w:proofErr w:type="gramEnd"/>
    </w:p>
    <w:p w14:paraId="2A3D1B57" w14:textId="77777777" w:rsidR="00A44EA5" w:rsidRPr="000902C1" w:rsidRDefault="00A44EA5" w:rsidP="006C1EEF">
      <w:pPr>
        <w:numPr>
          <w:ilvl w:val="0"/>
          <w:numId w:val="25"/>
        </w:numPr>
        <w:spacing w:before="0" w:after="200" w:line="276" w:lineRule="auto"/>
        <w:ind w:left="993" w:hanging="284"/>
      </w:pPr>
      <w:r w:rsidRPr="000902C1">
        <w:t>local communities; and</w:t>
      </w:r>
    </w:p>
    <w:p w14:paraId="054E9527" w14:textId="77777777" w:rsidR="00A44EA5" w:rsidRPr="000902C1" w:rsidRDefault="00A44EA5" w:rsidP="006C1EEF">
      <w:pPr>
        <w:numPr>
          <w:ilvl w:val="0"/>
          <w:numId w:val="25"/>
        </w:numPr>
        <w:spacing w:before="0" w:after="200" w:line="276" w:lineRule="auto"/>
        <w:ind w:left="993" w:hanging="284"/>
      </w:pPr>
      <w:r w:rsidRPr="000902C1">
        <w:t>the media.</w:t>
      </w:r>
    </w:p>
    <w:p w14:paraId="32BCA3A7" w14:textId="77777777" w:rsidR="00A44EA5" w:rsidRPr="000902C1" w:rsidRDefault="00A44EA5" w:rsidP="006C1EEF">
      <w:pPr>
        <w:numPr>
          <w:ilvl w:val="1"/>
          <w:numId w:val="29"/>
        </w:numPr>
        <w:spacing w:before="0" w:after="200" w:line="276" w:lineRule="auto"/>
      </w:pPr>
      <w:r w:rsidRPr="000902C1">
        <w:t>A National Code of Ethics for the Police Service, developed by the College of Policing, and embedded and enshrined by Parliament; applies to all forces that are required to embed the Code.  The Code applies to every individual who works in policing in England and Wales, whether a warranted officer, police staff, volunteer or someone contracted to work in a police force.  It is the written guide to the principles that every member of the policing profession is expected to uphold and the standards of behaviour they are expected to meet and is seen as the foundation document for promoting, reinforcing and supporting the highest personal standards from everyone who works in the policing profession.  All employees have been issued with a copy of this code; the Code of Ethics sits alongside the well-established principles established in the Force vision of policing with PRIDE (Professionalism, Respect, Integrity, Dedication and Empathy), in providing the Force with an ethical framework to make decisions.</w:t>
      </w:r>
    </w:p>
    <w:p w14:paraId="09DF1723" w14:textId="77777777" w:rsidR="00A44EA5" w:rsidRPr="000902C1" w:rsidRDefault="00A44EA5" w:rsidP="006C1EEF">
      <w:pPr>
        <w:numPr>
          <w:ilvl w:val="1"/>
          <w:numId w:val="29"/>
        </w:numPr>
        <w:spacing w:before="0" w:after="200" w:line="276" w:lineRule="auto"/>
      </w:pPr>
      <w:r w:rsidRPr="000902C1">
        <w:t>The Code of Ethics is based on nine policing principles and ten standards of professional behaviour that will help everyone in policing to do the right thing in the right way.  It spells out what the profession expects of all officers, staff and others working in policing, and has practical examples for everyone to use daily.</w:t>
      </w:r>
    </w:p>
    <w:p w14:paraId="4E87488B" w14:textId="77777777" w:rsidR="00A44EA5" w:rsidRPr="000902C1" w:rsidRDefault="00A44EA5" w:rsidP="006C1EEF">
      <w:pPr>
        <w:numPr>
          <w:ilvl w:val="0"/>
          <w:numId w:val="29"/>
        </w:numPr>
        <w:spacing w:before="0" w:after="200" w:line="276" w:lineRule="auto"/>
        <w:rPr>
          <w:b/>
        </w:rPr>
      </w:pPr>
      <w:r w:rsidRPr="000902C1">
        <w:rPr>
          <w:b/>
        </w:rPr>
        <w:t>Risk Management</w:t>
      </w:r>
    </w:p>
    <w:p w14:paraId="36F6EA7E" w14:textId="77777777" w:rsidR="00A44EA5" w:rsidRPr="000902C1" w:rsidRDefault="00A44EA5" w:rsidP="006C1EEF">
      <w:pPr>
        <w:numPr>
          <w:ilvl w:val="1"/>
          <w:numId w:val="29"/>
        </w:numPr>
        <w:spacing w:before="0" w:after="200" w:line="276" w:lineRule="auto"/>
      </w:pPr>
      <w:r w:rsidRPr="000902C1">
        <w:t xml:space="preserve">Lincolnshire Police has a risk management process in place that effectively manages risk against its business </w:t>
      </w:r>
      <w:proofErr w:type="gramStart"/>
      <w:r w:rsidRPr="000902C1">
        <w:t>in order to</w:t>
      </w:r>
      <w:proofErr w:type="gramEnd"/>
      <w:r w:rsidRPr="000902C1">
        <w:t xml:space="preserve"> ensure it operates under the sound principles of Corporate Governance.</w:t>
      </w:r>
    </w:p>
    <w:p w14:paraId="398EB020" w14:textId="77777777" w:rsidR="00A44EA5" w:rsidRPr="000902C1" w:rsidRDefault="00A44EA5" w:rsidP="006C1EEF">
      <w:pPr>
        <w:numPr>
          <w:ilvl w:val="1"/>
          <w:numId w:val="29"/>
        </w:numPr>
        <w:spacing w:before="0" w:after="200" w:line="276" w:lineRule="auto"/>
      </w:pPr>
      <w:r w:rsidRPr="000902C1">
        <w:lastRenderedPageBreak/>
        <w:t>Risk registers are a key tool in providing assurance to the Force and to the Police and Crime Commissioner (PCC) demonstrating that risks are being managed effectively through the regular and continued review of the Force Risk Register at the Risk Management Board, Senior Leadership Team meetings and the Joint Independent Audit Committee.</w:t>
      </w:r>
    </w:p>
    <w:p w14:paraId="320798FD" w14:textId="77777777" w:rsidR="00A44EA5" w:rsidRPr="000902C1" w:rsidRDefault="00A44EA5" w:rsidP="006C1EEF">
      <w:pPr>
        <w:numPr>
          <w:ilvl w:val="1"/>
          <w:numId w:val="29"/>
        </w:numPr>
        <w:spacing w:before="0" w:after="200" w:line="276" w:lineRule="auto"/>
      </w:pPr>
      <w:r w:rsidRPr="000902C1">
        <w:t>In addition to these internal assurances, there are external organisations such as internal and external auditors as well as Her Majesty’s Inspectorate of Constabulary and Fire &amp; Rescue Services (HMICFRS) that work with the Force and the Office of Police and Crime Commissioner (OPCC) to ensure the risk management process is effective and robust.</w:t>
      </w:r>
    </w:p>
    <w:p w14:paraId="6884E1D2" w14:textId="77777777" w:rsidR="00A44EA5" w:rsidRPr="000902C1" w:rsidRDefault="00A44EA5" w:rsidP="006C1EEF">
      <w:pPr>
        <w:numPr>
          <w:ilvl w:val="1"/>
          <w:numId w:val="29"/>
        </w:numPr>
        <w:spacing w:before="0" w:after="200" w:line="276" w:lineRule="auto"/>
      </w:pPr>
      <w:r w:rsidRPr="000902C1">
        <w:t>Any negative outcome of internal or external audit is reviewed by the Force and plans are put in place to address the issues and ensure improvements are made.</w:t>
      </w:r>
    </w:p>
    <w:p w14:paraId="4CD8332B" w14:textId="77777777" w:rsidR="00A44EA5" w:rsidRPr="000902C1" w:rsidRDefault="00A44EA5" w:rsidP="006C1EEF">
      <w:pPr>
        <w:numPr>
          <w:ilvl w:val="1"/>
          <w:numId w:val="29"/>
        </w:numPr>
        <w:spacing w:before="0" w:after="200" w:line="276" w:lineRule="auto"/>
      </w:pPr>
      <w:r w:rsidRPr="000902C1">
        <w:t xml:space="preserve">The Force risk </w:t>
      </w:r>
      <w:proofErr w:type="gramStart"/>
      <w:r w:rsidRPr="000902C1">
        <w:t>register</w:t>
      </w:r>
      <w:proofErr w:type="gramEnd"/>
      <w:r w:rsidRPr="000902C1">
        <w:t xml:space="preserve"> and process is owned by the Deputy Chief Constable of Lincolnshire Police with delegated responsibility to the Head of Strategic Development to manage the policy and processes on behalf of the Deputy Chief Constable. </w:t>
      </w:r>
    </w:p>
    <w:p w14:paraId="1D2FD875" w14:textId="77777777" w:rsidR="00A44EA5" w:rsidRPr="000902C1" w:rsidRDefault="00A44EA5" w:rsidP="006C1EEF">
      <w:pPr>
        <w:numPr>
          <w:ilvl w:val="1"/>
          <w:numId w:val="29"/>
        </w:numPr>
        <w:spacing w:before="0" w:after="200" w:line="276" w:lineRule="auto"/>
      </w:pPr>
      <w:r w:rsidRPr="000902C1">
        <w:t xml:space="preserve">The Risk Policy and Review Officer is responsible for managing the risk management process on behalf of the Head of Strategic Development and will maintain the policy and processes on their behalf. </w:t>
      </w:r>
    </w:p>
    <w:p w14:paraId="4F8FC031" w14:textId="77777777" w:rsidR="00A44EA5" w:rsidRPr="000902C1" w:rsidRDefault="00A44EA5" w:rsidP="006C1EEF">
      <w:pPr>
        <w:numPr>
          <w:ilvl w:val="1"/>
          <w:numId w:val="29"/>
        </w:numPr>
        <w:spacing w:before="0" w:after="200" w:line="276" w:lineRule="auto"/>
      </w:pPr>
      <w:r w:rsidRPr="000902C1">
        <w:t xml:space="preserve">It is the responsibility of all heads of departments and business areas to ensure they manage risks within their own areas of authority. </w:t>
      </w:r>
    </w:p>
    <w:p w14:paraId="58CD00C6" w14:textId="77777777" w:rsidR="00A44EA5" w:rsidRPr="000902C1" w:rsidRDefault="00A44EA5" w:rsidP="006C1EEF">
      <w:pPr>
        <w:numPr>
          <w:ilvl w:val="1"/>
          <w:numId w:val="29"/>
        </w:numPr>
        <w:spacing w:before="0" w:after="200" w:line="276" w:lineRule="auto"/>
      </w:pPr>
      <w:r w:rsidRPr="000902C1">
        <w:t xml:space="preserve">They are responsible for identifying risks in their individual business areas and for assessing them in terms of their impact and probability of occurring. Each department and business area, as well as all force projects, will maintain a risk register. </w:t>
      </w:r>
    </w:p>
    <w:p w14:paraId="4BA39820" w14:textId="77777777" w:rsidR="00A44EA5" w:rsidRPr="000902C1" w:rsidRDefault="00A44EA5" w:rsidP="006C1EEF">
      <w:pPr>
        <w:numPr>
          <w:ilvl w:val="1"/>
          <w:numId w:val="29"/>
        </w:numPr>
        <w:spacing w:before="0" w:after="200" w:line="276" w:lineRule="auto"/>
      </w:pPr>
      <w:r w:rsidRPr="000902C1">
        <w:t xml:space="preserve">The Force risk management process focuses on five levels of risk which can pass through a process of escalation depending on the scale of risk and effect it may have at either project, programme, department or force level. </w:t>
      </w:r>
    </w:p>
    <w:tbl>
      <w:tblPr>
        <w:tblW w:w="89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62"/>
        <w:gridCol w:w="6945"/>
      </w:tblGrid>
      <w:tr w:rsidR="00A44EA5" w:rsidRPr="000902C1" w14:paraId="36488220" w14:textId="77777777" w:rsidTr="00344E2B">
        <w:trPr>
          <w:jc w:val="center"/>
        </w:trPr>
        <w:tc>
          <w:tcPr>
            <w:tcW w:w="1962" w:type="dxa"/>
            <w:vAlign w:val="center"/>
          </w:tcPr>
          <w:p w14:paraId="5E0FE88D" w14:textId="77777777" w:rsidR="00A44EA5" w:rsidRPr="000902C1" w:rsidRDefault="00A44EA5" w:rsidP="006C1EEF">
            <w:pPr>
              <w:spacing w:before="120" w:after="120"/>
              <w:ind w:left="0"/>
              <w:rPr>
                <w:b/>
                <w:bCs/>
              </w:rPr>
            </w:pPr>
            <w:r w:rsidRPr="000902C1">
              <w:rPr>
                <w:b/>
                <w:bCs/>
              </w:rPr>
              <w:t>Risk Level</w:t>
            </w:r>
          </w:p>
        </w:tc>
        <w:tc>
          <w:tcPr>
            <w:tcW w:w="6945" w:type="dxa"/>
            <w:vAlign w:val="center"/>
          </w:tcPr>
          <w:p w14:paraId="23595CC4" w14:textId="77777777" w:rsidR="00A44EA5" w:rsidRPr="000902C1" w:rsidRDefault="00A44EA5" w:rsidP="006C1EEF">
            <w:pPr>
              <w:spacing w:before="120" w:after="120"/>
              <w:ind w:left="0"/>
              <w:rPr>
                <w:b/>
                <w:bCs/>
              </w:rPr>
            </w:pPr>
            <w:r w:rsidRPr="000902C1">
              <w:rPr>
                <w:b/>
                <w:bCs/>
              </w:rPr>
              <w:t>Description</w:t>
            </w:r>
          </w:p>
        </w:tc>
      </w:tr>
      <w:tr w:rsidR="00A44EA5" w:rsidRPr="000902C1" w14:paraId="50D5E980" w14:textId="77777777" w:rsidTr="00344E2B">
        <w:trPr>
          <w:trHeight w:val="416"/>
          <w:jc w:val="center"/>
        </w:trPr>
        <w:tc>
          <w:tcPr>
            <w:tcW w:w="1962" w:type="dxa"/>
            <w:vAlign w:val="center"/>
          </w:tcPr>
          <w:p w14:paraId="16B4E4F0" w14:textId="77777777" w:rsidR="00A44EA5" w:rsidRPr="000902C1" w:rsidRDefault="00A44EA5" w:rsidP="006C1EEF">
            <w:pPr>
              <w:spacing w:before="120" w:after="120"/>
              <w:ind w:left="0"/>
              <w:rPr>
                <w:b/>
                <w:bCs/>
              </w:rPr>
            </w:pPr>
          </w:p>
          <w:p w14:paraId="34BF8076" w14:textId="77777777" w:rsidR="00A44EA5" w:rsidRPr="000902C1" w:rsidRDefault="00A44EA5" w:rsidP="006C1EEF">
            <w:pPr>
              <w:spacing w:before="120" w:after="120"/>
              <w:ind w:left="0"/>
              <w:rPr>
                <w:b/>
                <w:bCs/>
              </w:rPr>
            </w:pPr>
          </w:p>
          <w:p w14:paraId="31B00E54" w14:textId="77777777" w:rsidR="00A44EA5" w:rsidRPr="000902C1" w:rsidRDefault="00A44EA5" w:rsidP="006C1EEF">
            <w:pPr>
              <w:spacing w:before="120" w:after="120"/>
              <w:ind w:left="0"/>
              <w:rPr>
                <w:b/>
                <w:bCs/>
              </w:rPr>
            </w:pPr>
            <w:r w:rsidRPr="000902C1">
              <w:rPr>
                <w:b/>
                <w:bCs/>
              </w:rPr>
              <w:t>Force</w:t>
            </w:r>
          </w:p>
          <w:p w14:paraId="4A226FBA" w14:textId="77777777" w:rsidR="00A44EA5" w:rsidRPr="000902C1" w:rsidRDefault="00A44EA5" w:rsidP="006C1EEF">
            <w:pPr>
              <w:spacing w:before="120" w:after="120"/>
              <w:ind w:left="0"/>
            </w:pPr>
          </w:p>
          <w:p w14:paraId="262509CA" w14:textId="77777777" w:rsidR="00A44EA5" w:rsidRPr="000902C1" w:rsidRDefault="00A44EA5" w:rsidP="006C1EEF">
            <w:pPr>
              <w:spacing w:before="120" w:after="120"/>
              <w:ind w:left="0"/>
            </w:pPr>
          </w:p>
          <w:p w14:paraId="75F54E57" w14:textId="77777777" w:rsidR="00A44EA5" w:rsidRPr="000902C1" w:rsidRDefault="00A44EA5" w:rsidP="006C1EEF">
            <w:pPr>
              <w:spacing w:before="120" w:after="120"/>
              <w:ind w:left="0"/>
            </w:pPr>
          </w:p>
        </w:tc>
        <w:tc>
          <w:tcPr>
            <w:tcW w:w="6945" w:type="dxa"/>
          </w:tcPr>
          <w:p w14:paraId="5ECB5624" w14:textId="77777777" w:rsidR="00A44EA5" w:rsidRPr="000902C1" w:rsidRDefault="00A44EA5" w:rsidP="006C1EEF">
            <w:pPr>
              <w:numPr>
                <w:ilvl w:val="0"/>
                <w:numId w:val="13"/>
              </w:numPr>
              <w:tabs>
                <w:tab w:val="num" w:pos="247"/>
              </w:tabs>
              <w:spacing w:before="120" w:after="120" w:line="276" w:lineRule="auto"/>
              <w:ind w:left="249" w:hanging="249"/>
            </w:pPr>
            <w:r w:rsidRPr="000902C1">
              <w:t xml:space="preserve">Risks at the highest level.  </w:t>
            </w:r>
            <w:bookmarkStart w:id="32" w:name="OLE_LINK1"/>
            <w:bookmarkStart w:id="33" w:name="OLE_LINK2"/>
          </w:p>
          <w:p w14:paraId="39B48AB4" w14:textId="77777777" w:rsidR="00A44EA5" w:rsidRPr="000902C1" w:rsidRDefault="00A44EA5" w:rsidP="006C1EEF">
            <w:pPr>
              <w:numPr>
                <w:ilvl w:val="0"/>
                <w:numId w:val="13"/>
              </w:numPr>
              <w:tabs>
                <w:tab w:val="num" w:pos="247"/>
              </w:tabs>
              <w:spacing w:before="120" w:after="120" w:line="276" w:lineRule="auto"/>
              <w:ind w:left="249" w:hanging="249"/>
            </w:pPr>
            <w:r w:rsidRPr="000902C1">
              <w:t>They are so significant that they threaten or enhance the long-term achievement of corporate objectives.</w:t>
            </w:r>
          </w:p>
          <w:p w14:paraId="5E39FD3F" w14:textId="77777777" w:rsidR="00A44EA5" w:rsidRPr="000902C1" w:rsidRDefault="00A44EA5" w:rsidP="006C1EEF">
            <w:pPr>
              <w:numPr>
                <w:ilvl w:val="0"/>
                <w:numId w:val="13"/>
              </w:numPr>
              <w:tabs>
                <w:tab w:val="num" w:pos="247"/>
              </w:tabs>
              <w:spacing w:before="120" w:after="120" w:line="276" w:lineRule="auto"/>
              <w:ind w:left="249" w:hanging="249"/>
            </w:pPr>
            <w:r w:rsidRPr="000902C1">
              <w:t>Will be discussed at Risk Management Boards, Senior Leadership Team meetings and the Joint Independent Audit Committee.</w:t>
            </w:r>
          </w:p>
          <w:p w14:paraId="71B53C44" w14:textId="77777777" w:rsidR="00A44EA5" w:rsidRPr="000902C1" w:rsidRDefault="00A44EA5" w:rsidP="006C1EEF">
            <w:pPr>
              <w:numPr>
                <w:ilvl w:val="0"/>
                <w:numId w:val="13"/>
              </w:numPr>
              <w:tabs>
                <w:tab w:val="num" w:pos="247"/>
              </w:tabs>
              <w:spacing w:before="120" w:after="120" w:line="276" w:lineRule="auto"/>
              <w:ind w:left="249" w:hanging="249"/>
            </w:pPr>
            <w:r w:rsidRPr="000902C1">
              <w:t>Departments/Business Areas will escalate risks from their departmental risk register which have become force risks, through the Risk Management Board, for inclusion on the Force Risk Register.</w:t>
            </w:r>
            <w:bookmarkEnd w:id="32"/>
            <w:bookmarkEnd w:id="33"/>
          </w:p>
        </w:tc>
      </w:tr>
      <w:tr w:rsidR="00A44EA5" w:rsidRPr="000902C1" w14:paraId="1B053CCA" w14:textId="77777777" w:rsidTr="00344E2B">
        <w:trPr>
          <w:jc w:val="center"/>
        </w:trPr>
        <w:tc>
          <w:tcPr>
            <w:tcW w:w="1962" w:type="dxa"/>
            <w:vAlign w:val="center"/>
          </w:tcPr>
          <w:p w14:paraId="396BA373" w14:textId="77777777" w:rsidR="00A44EA5" w:rsidRPr="000902C1" w:rsidRDefault="00A44EA5" w:rsidP="006C1EEF">
            <w:pPr>
              <w:spacing w:before="120" w:after="120"/>
              <w:ind w:left="0"/>
              <w:rPr>
                <w:b/>
                <w:bCs/>
              </w:rPr>
            </w:pPr>
            <w:r w:rsidRPr="000902C1">
              <w:rPr>
                <w:b/>
                <w:bCs/>
              </w:rPr>
              <w:t>Department/</w:t>
            </w:r>
          </w:p>
          <w:p w14:paraId="716A4558" w14:textId="77777777" w:rsidR="00A44EA5" w:rsidRPr="000902C1" w:rsidRDefault="00A44EA5" w:rsidP="006C1EEF">
            <w:pPr>
              <w:spacing w:before="120" w:after="120"/>
              <w:ind w:left="0"/>
              <w:rPr>
                <w:b/>
                <w:bCs/>
              </w:rPr>
            </w:pPr>
            <w:r w:rsidRPr="000902C1">
              <w:rPr>
                <w:b/>
                <w:bCs/>
              </w:rPr>
              <w:t>Business Area</w:t>
            </w:r>
          </w:p>
        </w:tc>
        <w:tc>
          <w:tcPr>
            <w:tcW w:w="6945" w:type="dxa"/>
          </w:tcPr>
          <w:p w14:paraId="14F3479E" w14:textId="77777777" w:rsidR="00A44EA5" w:rsidRPr="000902C1" w:rsidRDefault="00A44EA5" w:rsidP="006C1EEF">
            <w:pPr>
              <w:numPr>
                <w:ilvl w:val="0"/>
                <w:numId w:val="14"/>
              </w:numPr>
              <w:tabs>
                <w:tab w:val="num" w:pos="247"/>
              </w:tabs>
              <w:spacing w:before="120" w:after="120" w:line="276" w:lineRule="auto"/>
              <w:ind w:left="249" w:hanging="249"/>
            </w:pPr>
            <w:r w:rsidRPr="000902C1">
              <w:t xml:space="preserve">Risks that threaten or enhance the delivery of department or business area objectives.   </w:t>
            </w:r>
          </w:p>
          <w:p w14:paraId="540F3B9C" w14:textId="77777777" w:rsidR="00A44EA5" w:rsidRPr="000902C1" w:rsidRDefault="00A44EA5" w:rsidP="006C1EEF">
            <w:pPr>
              <w:numPr>
                <w:ilvl w:val="0"/>
                <w:numId w:val="14"/>
              </w:numPr>
              <w:tabs>
                <w:tab w:val="num" w:pos="247"/>
              </w:tabs>
              <w:spacing w:before="120" w:after="120" w:line="276" w:lineRule="auto"/>
              <w:ind w:left="249" w:hanging="249"/>
            </w:pPr>
            <w:r w:rsidRPr="000902C1">
              <w:lastRenderedPageBreak/>
              <w:t xml:space="preserve">Will be discussed at Senior Management Team meetings. </w:t>
            </w:r>
          </w:p>
          <w:p w14:paraId="676EA6E3" w14:textId="77777777" w:rsidR="00A44EA5" w:rsidRPr="000902C1" w:rsidRDefault="00A44EA5" w:rsidP="006C1EEF">
            <w:pPr>
              <w:numPr>
                <w:ilvl w:val="0"/>
                <w:numId w:val="14"/>
              </w:numPr>
              <w:tabs>
                <w:tab w:val="num" w:pos="247"/>
              </w:tabs>
              <w:spacing w:before="120" w:after="120" w:line="276" w:lineRule="auto"/>
              <w:ind w:left="249" w:hanging="249"/>
            </w:pPr>
            <w:r w:rsidRPr="000902C1">
              <w:t>Escalated up through the Risk Management Board if they pose a threat to corporate objectives and the Head of Department’s limit of authority to manage the risk has been reached.</w:t>
            </w:r>
          </w:p>
        </w:tc>
      </w:tr>
      <w:tr w:rsidR="00A44EA5" w:rsidRPr="000902C1" w14:paraId="5094C0A2" w14:textId="77777777" w:rsidTr="00344E2B">
        <w:trPr>
          <w:jc w:val="center"/>
        </w:trPr>
        <w:tc>
          <w:tcPr>
            <w:tcW w:w="1962" w:type="dxa"/>
            <w:vAlign w:val="center"/>
          </w:tcPr>
          <w:p w14:paraId="32F9E18F" w14:textId="77777777" w:rsidR="00A44EA5" w:rsidRPr="000902C1" w:rsidRDefault="00A44EA5" w:rsidP="006C1EEF">
            <w:pPr>
              <w:spacing w:before="120" w:after="120"/>
              <w:ind w:left="0"/>
              <w:rPr>
                <w:b/>
                <w:bCs/>
              </w:rPr>
            </w:pPr>
            <w:r w:rsidRPr="000902C1">
              <w:rPr>
                <w:b/>
                <w:bCs/>
              </w:rPr>
              <w:lastRenderedPageBreak/>
              <w:t>Programme</w:t>
            </w:r>
          </w:p>
        </w:tc>
        <w:tc>
          <w:tcPr>
            <w:tcW w:w="6945" w:type="dxa"/>
          </w:tcPr>
          <w:p w14:paraId="374EEC10" w14:textId="77777777" w:rsidR="00A44EA5" w:rsidRPr="000902C1" w:rsidRDefault="00A44EA5" w:rsidP="006C1EEF">
            <w:pPr>
              <w:numPr>
                <w:ilvl w:val="0"/>
                <w:numId w:val="15"/>
              </w:numPr>
              <w:tabs>
                <w:tab w:val="num" w:pos="247"/>
              </w:tabs>
              <w:spacing w:before="120" w:after="120" w:line="276" w:lineRule="auto"/>
              <w:ind w:left="249" w:hanging="249"/>
            </w:pPr>
            <w:r w:rsidRPr="000902C1">
              <w:t xml:space="preserve">Risks that threaten or enhance the delivery of a programme. Will be analysed and scored in relation to the programme.  </w:t>
            </w:r>
          </w:p>
          <w:p w14:paraId="69C2F5BB" w14:textId="77777777" w:rsidR="00A44EA5" w:rsidRPr="000902C1" w:rsidRDefault="00A44EA5" w:rsidP="006C1EEF">
            <w:pPr>
              <w:numPr>
                <w:ilvl w:val="0"/>
                <w:numId w:val="15"/>
              </w:numPr>
              <w:tabs>
                <w:tab w:val="num" w:pos="247"/>
              </w:tabs>
              <w:spacing w:before="120" w:after="120" w:line="276" w:lineRule="auto"/>
              <w:ind w:left="249" w:hanging="249"/>
            </w:pPr>
            <w:r w:rsidRPr="000902C1">
              <w:t>Will be discussed at Programme Board meetings.</w:t>
            </w:r>
          </w:p>
          <w:p w14:paraId="7759F18E" w14:textId="77777777" w:rsidR="00A44EA5" w:rsidRPr="000902C1" w:rsidRDefault="00A44EA5" w:rsidP="006C1EEF">
            <w:pPr>
              <w:numPr>
                <w:ilvl w:val="0"/>
                <w:numId w:val="15"/>
              </w:numPr>
              <w:tabs>
                <w:tab w:val="num" w:pos="247"/>
              </w:tabs>
              <w:spacing w:before="120" w:after="120" w:line="276" w:lineRule="auto"/>
              <w:ind w:left="249" w:hanging="249"/>
            </w:pPr>
            <w:r w:rsidRPr="000902C1">
              <w:t>Escalated through the Risk Management Board if they pose a threat to corporate objectives, and the Programme Manager’s limit of authority to manage the risk has been reached.</w:t>
            </w:r>
          </w:p>
        </w:tc>
      </w:tr>
      <w:tr w:rsidR="00A44EA5" w:rsidRPr="000902C1" w14:paraId="494F5F80" w14:textId="77777777" w:rsidTr="00344E2B">
        <w:trPr>
          <w:jc w:val="center"/>
        </w:trPr>
        <w:tc>
          <w:tcPr>
            <w:tcW w:w="1962" w:type="dxa"/>
            <w:vAlign w:val="center"/>
          </w:tcPr>
          <w:p w14:paraId="75AEDDFD" w14:textId="77777777" w:rsidR="00A44EA5" w:rsidRPr="000902C1" w:rsidRDefault="00A44EA5" w:rsidP="006C1EEF">
            <w:pPr>
              <w:spacing w:before="120" w:after="120"/>
              <w:ind w:left="0"/>
              <w:rPr>
                <w:b/>
                <w:bCs/>
              </w:rPr>
            </w:pPr>
            <w:r w:rsidRPr="000902C1">
              <w:rPr>
                <w:b/>
                <w:bCs/>
              </w:rPr>
              <w:t>Project</w:t>
            </w:r>
          </w:p>
        </w:tc>
        <w:tc>
          <w:tcPr>
            <w:tcW w:w="6945" w:type="dxa"/>
          </w:tcPr>
          <w:p w14:paraId="50873CA1" w14:textId="77777777" w:rsidR="00A44EA5" w:rsidRPr="000902C1" w:rsidRDefault="00A44EA5" w:rsidP="006C1EEF">
            <w:pPr>
              <w:numPr>
                <w:ilvl w:val="0"/>
                <w:numId w:val="16"/>
              </w:numPr>
              <w:tabs>
                <w:tab w:val="num" w:pos="247"/>
              </w:tabs>
              <w:spacing w:before="120" w:after="120" w:line="276" w:lineRule="auto"/>
              <w:ind w:left="249" w:hanging="249"/>
            </w:pPr>
            <w:r w:rsidRPr="000902C1">
              <w:t xml:space="preserve">Risks that threaten or enhance the delivery of a specific project. Will be analysed and scored in relation to the project.  </w:t>
            </w:r>
          </w:p>
          <w:p w14:paraId="6F2DC0EE" w14:textId="77777777" w:rsidR="00A44EA5" w:rsidRPr="000902C1" w:rsidRDefault="00A44EA5" w:rsidP="006C1EEF">
            <w:pPr>
              <w:numPr>
                <w:ilvl w:val="0"/>
                <w:numId w:val="16"/>
              </w:numPr>
              <w:tabs>
                <w:tab w:val="num" w:pos="247"/>
              </w:tabs>
              <w:spacing w:before="120" w:after="120" w:line="276" w:lineRule="auto"/>
              <w:ind w:left="249" w:hanging="249"/>
            </w:pPr>
            <w:r w:rsidRPr="000902C1">
              <w:t>If they are serious enough to impact on the Programme and the Project Manager’s limit of authority has been reached, they should be escalated to Programme level.</w:t>
            </w:r>
          </w:p>
        </w:tc>
      </w:tr>
      <w:tr w:rsidR="00A44EA5" w:rsidRPr="000902C1" w14:paraId="33500FEA" w14:textId="77777777" w:rsidTr="00344E2B">
        <w:trPr>
          <w:jc w:val="center"/>
        </w:trPr>
        <w:tc>
          <w:tcPr>
            <w:tcW w:w="1962" w:type="dxa"/>
            <w:vAlign w:val="center"/>
          </w:tcPr>
          <w:p w14:paraId="050F80DA" w14:textId="77777777" w:rsidR="00A44EA5" w:rsidRPr="000902C1" w:rsidRDefault="00A44EA5" w:rsidP="006C1EEF">
            <w:pPr>
              <w:spacing w:before="120" w:after="120"/>
              <w:ind w:left="0"/>
              <w:rPr>
                <w:b/>
                <w:bCs/>
              </w:rPr>
            </w:pPr>
            <w:r w:rsidRPr="000902C1">
              <w:rPr>
                <w:b/>
                <w:bCs/>
              </w:rPr>
              <w:t>Operational</w:t>
            </w:r>
          </w:p>
        </w:tc>
        <w:tc>
          <w:tcPr>
            <w:tcW w:w="6945" w:type="dxa"/>
          </w:tcPr>
          <w:p w14:paraId="3ECEEC62" w14:textId="77777777" w:rsidR="00A44EA5" w:rsidRPr="000902C1" w:rsidRDefault="00A44EA5" w:rsidP="006C1EEF">
            <w:pPr>
              <w:numPr>
                <w:ilvl w:val="0"/>
                <w:numId w:val="17"/>
              </w:numPr>
              <w:tabs>
                <w:tab w:val="num" w:pos="247"/>
              </w:tabs>
              <w:spacing w:before="120" w:after="120" w:line="276" w:lineRule="auto"/>
              <w:ind w:left="249" w:hanging="249"/>
            </w:pPr>
            <w:r w:rsidRPr="000902C1">
              <w:t xml:space="preserve">Risks concerning the day-to-day issues that Lincolnshire Police is confronted with as it strives to deliver its objectives.  </w:t>
            </w:r>
          </w:p>
          <w:p w14:paraId="234F467E" w14:textId="77777777" w:rsidR="00A44EA5" w:rsidRPr="000902C1" w:rsidRDefault="00A44EA5" w:rsidP="006C1EEF">
            <w:pPr>
              <w:numPr>
                <w:ilvl w:val="0"/>
                <w:numId w:val="17"/>
              </w:numPr>
              <w:tabs>
                <w:tab w:val="num" w:pos="247"/>
              </w:tabs>
              <w:spacing w:before="120" w:after="120" w:line="276" w:lineRule="auto"/>
              <w:ind w:left="249" w:hanging="249"/>
            </w:pPr>
            <w:r w:rsidRPr="000902C1">
              <w:t>Only escalated to the Force Risk Register if they pose a threat to corporate objectives.</w:t>
            </w:r>
          </w:p>
        </w:tc>
      </w:tr>
    </w:tbl>
    <w:p w14:paraId="217F4A11" w14:textId="77777777" w:rsidR="00A44EA5" w:rsidRPr="000902C1" w:rsidRDefault="00A44EA5" w:rsidP="006C1EEF">
      <w:pPr>
        <w:ind w:left="709" w:hanging="709"/>
      </w:pPr>
      <w:r w:rsidRPr="000902C1">
        <w:t>5.10</w:t>
      </w:r>
      <w:r w:rsidRPr="000902C1">
        <w:tab/>
        <w:t>In implementing risk management the Force has produced a Risk Management Strategy which details the roles and responsibilities of those involved in the undertaking risk management in the Force. It follows a set standard and process for risk management to ensure a consistent approach is adopted across the whole organisation.  The Risk Management Strategy is reviewed by JIAC.</w:t>
      </w:r>
    </w:p>
    <w:p w14:paraId="2B4941A6" w14:textId="77777777" w:rsidR="00A44EA5" w:rsidRPr="000902C1" w:rsidRDefault="00A44EA5" w:rsidP="006C1EEF">
      <w:pPr>
        <w:ind w:left="709" w:hanging="709"/>
      </w:pPr>
      <w:r w:rsidRPr="000902C1">
        <w:t>5.11</w:t>
      </w:r>
      <w:r w:rsidRPr="000902C1">
        <w:tab/>
        <w:t xml:space="preserve">Consistent risk management will allow the Force to plan effectively in the delivery of its outputs by knowing what circumstances that could prevent it from achieving its aims, and by putting in to place measures to prevent risk form occurring, therefore, saving time and resources. </w:t>
      </w:r>
    </w:p>
    <w:p w14:paraId="34683E1E" w14:textId="77777777" w:rsidR="00A44EA5" w:rsidRPr="000902C1" w:rsidRDefault="00A44EA5" w:rsidP="006C1EEF">
      <w:pPr>
        <w:ind w:left="0"/>
      </w:pPr>
      <w:r w:rsidRPr="000902C1">
        <w:t>5.12</w:t>
      </w:r>
      <w:r w:rsidRPr="000902C1">
        <w:tab/>
        <w:t xml:space="preserve">The Force Risk Management Board is responsible for </w:t>
      </w:r>
      <w:r w:rsidRPr="000902C1">
        <w:rPr>
          <w:lang w:val="en-US"/>
        </w:rPr>
        <w:t>the following:</w:t>
      </w:r>
    </w:p>
    <w:p w14:paraId="1E23E34F" w14:textId="77777777" w:rsidR="00A44EA5" w:rsidRPr="000902C1" w:rsidRDefault="00A44EA5" w:rsidP="006C1EEF">
      <w:pPr>
        <w:numPr>
          <w:ilvl w:val="0"/>
          <w:numId w:val="18"/>
        </w:numPr>
        <w:tabs>
          <w:tab w:val="num" w:pos="993"/>
        </w:tabs>
        <w:spacing w:before="200" w:after="200" w:line="276" w:lineRule="auto"/>
        <w:ind w:left="993" w:hanging="284"/>
      </w:pPr>
      <w:r w:rsidRPr="000902C1">
        <w:t xml:space="preserve">Determining if risks are critical to the </w:t>
      </w:r>
      <w:proofErr w:type="gramStart"/>
      <w:r w:rsidRPr="000902C1">
        <w:t>Force;</w:t>
      </w:r>
      <w:proofErr w:type="gramEnd"/>
    </w:p>
    <w:p w14:paraId="61D42271" w14:textId="77777777" w:rsidR="00A44EA5" w:rsidRPr="000902C1" w:rsidRDefault="00A44EA5" w:rsidP="006C1EEF">
      <w:pPr>
        <w:numPr>
          <w:ilvl w:val="0"/>
          <w:numId w:val="18"/>
        </w:numPr>
        <w:tabs>
          <w:tab w:val="num" w:pos="993"/>
        </w:tabs>
        <w:spacing w:before="200" w:after="200" w:line="276" w:lineRule="auto"/>
        <w:ind w:left="993" w:hanging="284"/>
      </w:pPr>
      <w:r w:rsidRPr="000902C1">
        <w:t xml:space="preserve">Managing and developing the risk management </w:t>
      </w:r>
      <w:proofErr w:type="gramStart"/>
      <w:r w:rsidRPr="000902C1">
        <w:t>process;</w:t>
      </w:r>
      <w:proofErr w:type="gramEnd"/>
    </w:p>
    <w:p w14:paraId="223A339A" w14:textId="77777777" w:rsidR="00A44EA5" w:rsidRPr="000902C1" w:rsidRDefault="00A44EA5" w:rsidP="006C1EEF">
      <w:pPr>
        <w:numPr>
          <w:ilvl w:val="0"/>
          <w:numId w:val="18"/>
        </w:numPr>
        <w:tabs>
          <w:tab w:val="num" w:pos="993"/>
        </w:tabs>
        <w:spacing w:before="200" w:after="200" w:line="276" w:lineRule="auto"/>
        <w:ind w:left="993" w:hanging="284"/>
      </w:pPr>
      <w:r w:rsidRPr="000902C1">
        <w:t xml:space="preserve">Review risk assessments of potential force </w:t>
      </w:r>
      <w:proofErr w:type="gramStart"/>
      <w:r w:rsidRPr="000902C1">
        <w:t>risks;</w:t>
      </w:r>
      <w:proofErr w:type="gramEnd"/>
    </w:p>
    <w:p w14:paraId="2DDA59A9" w14:textId="77777777" w:rsidR="00A44EA5" w:rsidRPr="000902C1" w:rsidRDefault="00A44EA5" w:rsidP="006C1EEF">
      <w:pPr>
        <w:numPr>
          <w:ilvl w:val="0"/>
          <w:numId w:val="18"/>
        </w:numPr>
        <w:tabs>
          <w:tab w:val="num" w:pos="993"/>
        </w:tabs>
        <w:spacing w:before="200" w:after="200" w:line="276" w:lineRule="auto"/>
        <w:ind w:left="993" w:hanging="284"/>
      </w:pPr>
      <w:r w:rsidRPr="000902C1">
        <w:t xml:space="preserve">Monitor red and amber risks on a quarterly </w:t>
      </w:r>
      <w:proofErr w:type="gramStart"/>
      <w:r w:rsidRPr="000902C1">
        <w:t>basis;</w:t>
      </w:r>
      <w:proofErr w:type="gramEnd"/>
      <w:r w:rsidRPr="000902C1">
        <w:t xml:space="preserve"> </w:t>
      </w:r>
    </w:p>
    <w:p w14:paraId="2CAE8382" w14:textId="77777777" w:rsidR="00A44EA5" w:rsidRPr="000902C1" w:rsidRDefault="00A44EA5" w:rsidP="006C1EEF">
      <w:pPr>
        <w:numPr>
          <w:ilvl w:val="0"/>
          <w:numId w:val="18"/>
        </w:numPr>
        <w:tabs>
          <w:tab w:val="num" w:pos="993"/>
        </w:tabs>
        <w:spacing w:before="200" w:after="200" w:line="276" w:lineRule="auto"/>
        <w:ind w:left="993" w:hanging="284"/>
      </w:pPr>
      <w:r w:rsidRPr="000902C1">
        <w:t xml:space="preserve">Assigning Risk Owners to a risk depending on the risk assessment </w:t>
      </w:r>
      <w:proofErr w:type="gramStart"/>
      <w:r w:rsidRPr="000902C1">
        <w:t>score;</w:t>
      </w:r>
      <w:proofErr w:type="gramEnd"/>
    </w:p>
    <w:p w14:paraId="3DF7E745" w14:textId="77777777" w:rsidR="00A44EA5" w:rsidRPr="000902C1" w:rsidRDefault="00A44EA5" w:rsidP="006C1EEF">
      <w:pPr>
        <w:numPr>
          <w:ilvl w:val="0"/>
          <w:numId w:val="18"/>
        </w:numPr>
        <w:tabs>
          <w:tab w:val="num" w:pos="993"/>
        </w:tabs>
        <w:spacing w:before="200" w:after="200" w:line="276" w:lineRule="auto"/>
        <w:ind w:left="993" w:hanging="284"/>
      </w:pPr>
      <w:r w:rsidRPr="000902C1">
        <w:t xml:space="preserve">Providing visible leadership and commitment to the Force risks and risk management process throughout the </w:t>
      </w:r>
      <w:proofErr w:type="gramStart"/>
      <w:r w:rsidRPr="000902C1">
        <w:t>organisation;</w:t>
      </w:r>
      <w:proofErr w:type="gramEnd"/>
    </w:p>
    <w:p w14:paraId="6A70221F" w14:textId="77777777" w:rsidR="00A44EA5" w:rsidRPr="000902C1" w:rsidRDefault="00A44EA5" w:rsidP="006C1EEF">
      <w:pPr>
        <w:numPr>
          <w:ilvl w:val="0"/>
          <w:numId w:val="18"/>
        </w:numPr>
        <w:tabs>
          <w:tab w:val="num" w:pos="993"/>
        </w:tabs>
        <w:spacing w:before="200" w:after="200" w:line="276" w:lineRule="auto"/>
        <w:ind w:left="993" w:hanging="284"/>
      </w:pPr>
      <w:r w:rsidRPr="000902C1">
        <w:lastRenderedPageBreak/>
        <w:t xml:space="preserve">Ensuring programme and project assurance.  </w:t>
      </w:r>
    </w:p>
    <w:p w14:paraId="6AD9FA37" w14:textId="77777777" w:rsidR="00A44EA5" w:rsidRPr="000902C1" w:rsidRDefault="00A44EA5" w:rsidP="006C1EEF">
      <w:pPr>
        <w:ind w:left="709" w:hanging="709"/>
      </w:pPr>
      <w:r w:rsidRPr="000902C1">
        <w:t>5.13</w:t>
      </w:r>
      <w:r w:rsidRPr="000902C1">
        <w:tab/>
        <w:t>Membership and terms of reference of the Force Risk Management Board are set out within the Force Risk Management Policy.  Lincolnshire Police has an established post of Force Risk Officer whose duties include maintaining the Force Strategic Risk Register and advising on the total risk to which the Force is exposed.  Risk focal points within each division and department have also been nominated.</w:t>
      </w:r>
    </w:p>
    <w:p w14:paraId="476112F4" w14:textId="77777777" w:rsidR="00A44EA5" w:rsidRPr="000902C1" w:rsidRDefault="00A44EA5" w:rsidP="006C1EEF">
      <w:pPr>
        <w:ind w:left="709" w:hanging="709"/>
      </w:pPr>
      <w:r w:rsidRPr="000902C1">
        <w:t>5.14</w:t>
      </w:r>
      <w:r w:rsidRPr="000902C1">
        <w:tab/>
        <w:t>The PCC and the Force maintain an extensive assurance map in conjunction with the strategic risk registers and process risks. The assurance map is based on the three lines of defence approach and is suitably comprehensive and effective for the purpose of assuring on established mitigations and scoring of strategic risks.</w:t>
      </w:r>
    </w:p>
    <w:p w14:paraId="722107F5" w14:textId="77777777" w:rsidR="00A44EA5" w:rsidRPr="000902C1" w:rsidRDefault="00A44EA5" w:rsidP="006C1EEF">
      <w:pPr>
        <w:ind w:left="0"/>
      </w:pPr>
      <w:r w:rsidRPr="009D41EF">
        <w:t>The force risk process was subject of internal audit in 2018 where the score identified that the risk processes provided significant assurance. The next review is included on the internal audit plan for 2021/22.</w:t>
      </w:r>
    </w:p>
    <w:p w14:paraId="783B42BA" w14:textId="6958DC70" w:rsidR="00A44EA5" w:rsidRPr="000902C1" w:rsidRDefault="00A44EA5" w:rsidP="006C1EEF">
      <w:pPr>
        <w:numPr>
          <w:ilvl w:val="0"/>
          <w:numId w:val="29"/>
        </w:numPr>
        <w:spacing w:before="0" w:after="200" w:line="276" w:lineRule="auto"/>
        <w:rPr>
          <w:b/>
        </w:rPr>
      </w:pPr>
      <w:r w:rsidRPr="000902C1">
        <w:rPr>
          <w:b/>
        </w:rPr>
        <w:t>Review of Effectiveness</w:t>
      </w:r>
    </w:p>
    <w:p w14:paraId="147BDC2C" w14:textId="77777777" w:rsidR="00A44EA5" w:rsidRPr="000902C1" w:rsidRDefault="00A44EA5" w:rsidP="006C1EEF">
      <w:pPr>
        <w:numPr>
          <w:ilvl w:val="1"/>
          <w:numId w:val="29"/>
        </w:numPr>
        <w:spacing w:before="0" w:after="200" w:line="276" w:lineRule="auto"/>
      </w:pPr>
      <w:r w:rsidRPr="000902C1">
        <w:t>The Chief Constable has responsibility for conducting, at least annually, a review of the effectiveness of the governance framework including the system of internal control.</w:t>
      </w:r>
    </w:p>
    <w:p w14:paraId="6EBA4E89" w14:textId="77777777" w:rsidR="00A44EA5" w:rsidRPr="000902C1" w:rsidRDefault="00A44EA5" w:rsidP="006C1EEF">
      <w:pPr>
        <w:numPr>
          <w:ilvl w:val="1"/>
          <w:numId w:val="29"/>
        </w:numPr>
        <w:spacing w:before="0" w:after="200" w:line="276" w:lineRule="auto"/>
      </w:pPr>
      <w:r w:rsidRPr="000902C1">
        <w:t>This review has been informed by the work of the Deputy Chief Constable (DCC) and Force Chief Finance Officer (FCFO) together with managers within the Force who have the responsibility for the development, maintenance and operation of the governance environment. In addition, comments made by the internal and external auditors and other review agencies and inspectorates have informed this review.</w:t>
      </w:r>
    </w:p>
    <w:p w14:paraId="7C63D3B4" w14:textId="77777777" w:rsidR="00A44EA5" w:rsidRPr="000902C1" w:rsidRDefault="00A44EA5" w:rsidP="006C1EEF">
      <w:pPr>
        <w:numPr>
          <w:ilvl w:val="1"/>
          <w:numId w:val="29"/>
        </w:numPr>
        <w:spacing w:before="0" w:after="200" w:line="276" w:lineRule="auto"/>
      </w:pPr>
      <w:r w:rsidRPr="000902C1">
        <w:t>Following an internal audit tender process, Mazars LLP were appointed internal auditors for the period April 2015 to March 2019. This contract has been extended for a further 3 years until March 2022 under the extension period allowed for in the contract.</w:t>
      </w:r>
    </w:p>
    <w:p w14:paraId="1CBD9D00" w14:textId="77777777" w:rsidR="00A44EA5" w:rsidRPr="000902C1" w:rsidRDefault="00A44EA5" w:rsidP="006C1EEF">
      <w:pPr>
        <w:numPr>
          <w:ilvl w:val="1"/>
          <w:numId w:val="29"/>
        </w:numPr>
        <w:spacing w:before="0" w:after="200" w:line="276" w:lineRule="auto"/>
      </w:pPr>
      <w:r w:rsidRPr="000902C1">
        <w:t>On an ongoing basis governance is monitored and reviewed via a range of mechanisms. These range from formal meetings (in areas such as Force performance, project management arrangements and conduct oversight from the Professional Standards Department) to the operation of management teams at corporate, area and service level.</w:t>
      </w:r>
    </w:p>
    <w:p w14:paraId="313CBF2D" w14:textId="77777777" w:rsidR="00A44EA5" w:rsidRPr="000902C1" w:rsidRDefault="00A44EA5" w:rsidP="006C1EEF">
      <w:pPr>
        <w:numPr>
          <w:ilvl w:val="1"/>
          <w:numId w:val="29"/>
        </w:numPr>
        <w:spacing w:before="0" w:after="200" w:line="276" w:lineRule="auto"/>
      </w:pPr>
      <w:r w:rsidRPr="000902C1">
        <w:t>The Commissioner and Chief Constable have a Joint Independent Audit Committee (JIAC).  The JIAC provides advice on matters relating to the adequacy and effectiveness of the financial and other controls, corporate governance, financial and contract regulations and risk management arrangements operated by both the Commissioner and the Chief Constable.  The JIAC is subject to an annual self-assessment.</w:t>
      </w:r>
    </w:p>
    <w:p w14:paraId="027EE157" w14:textId="77777777" w:rsidR="00A44EA5" w:rsidRPr="000902C1" w:rsidRDefault="00A44EA5" w:rsidP="006C1EEF">
      <w:pPr>
        <w:numPr>
          <w:ilvl w:val="1"/>
          <w:numId w:val="29"/>
        </w:numPr>
        <w:spacing w:before="0" w:after="200" w:line="276" w:lineRule="auto"/>
      </w:pPr>
      <w:r w:rsidRPr="000902C1">
        <w:t xml:space="preserve">The JIAC has received and considered reports from both internal and external audit and monitored the implementation of action plans drawn up to address identified internal control weaknesses. The Head of Internal Audit provides an opinion for each of the Police and Crime Commissioner and Chief Constable, based on the work undertaken in the year, on the adequacy and effectiveness of the assurance </w:t>
      </w:r>
      <w:r w:rsidRPr="000902C1">
        <w:lastRenderedPageBreak/>
        <w:t>framework, risk management, internal control and governance.  The External Auditor provides an opinion on the financial statements/value for money.</w:t>
      </w:r>
    </w:p>
    <w:p w14:paraId="58977EBA" w14:textId="77777777" w:rsidR="00A44EA5" w:rsidRPr="000902C1" w:rsidRDefault="00A44EA5" w:rsidP="006C1EEF">
      <w:pPr>
        <w:numPr>
          <w:ilvl w:val="1"/>
          <w:numId w:val="29"/>
        </w:numPr>
        <w:spacing w:before="0" w:after="200" w:line="276" w:lineRule="auto"/>
      </w:pPr>
      <w:r w:rsidRPr="000902C1">
        <w:t>For the Chief Constable the following opinion was provided for 20</w:t>
      </w:r>
      <w:r>
        <w:t>20</w:t>
      </w:r>
      <w:r w:rsidRPr="000902C1">
        <w:t>/2</w:t>
      </w:r>
      <w:r>
        <w:t>1</w:t>
      </w:r>
      <w:r w:rsidRPr="000902C1">
        <w:t>:</w:t>
      </w:r>
    </w:p>
    <w:p w14:paraId="46E58149" w14:textId="4B1F7C7E" w:rsidR="00A44EA5" w:rsidRPr="00754431" w:rsidRDefault="00A44EA5" w:rsidP="006C1EEF">
      <w:pPr>
        <w:ind w:left="0"/>
        <w:rPr>
          <w:bCs/>
          <w:i/>
        </w:rPr>
      </w:pPr>
      <w:r w:rsidRPr="00754431">
        <w:rPr>
          <w:bCs/>
          <w:i/>
        </w:rPr>
        <w:t xml:space="preserve">The Internal Audit Progress report for </w:t>
      </w:r>
      <w:r w:rsidR="00D703B3" w:rsidRPr="00754431">
        <w:rPr>
          <w:bCs/>
          <w:i/>
        </w:rPr>
        <w:t>2020/21</w:t>
      </w:r>
      <w:r w:rsidRPr="00754431">
        <w:rPr>
          <w:bCs/>
          <w:i/>
        </w:rPr>
        <w:t>, presented in June 202</w:t>
      </w:r>
      <w:r w:rsidR="00D703B3" w:rsidRPr="00754431">
        <w:rPr>
          <w:bCs/>
          <w:i/>
        </w:rPr>
        <w:t>1</w:t>
      </w:r>
      <w:r w:rsidRPr="00754431">
        <w:rPr>
          <w:bCs/>
          <w:i/>
        </w:rPr>
        <w:t xml:space="preserve">, gave a satisfactory or significant assurance opinion for </w:t>
      </w:r>
      <w:r w:rsidR="00F93D54">
        <w:rPr>
          <w:bCs/>
          <w:i/>
        </w:rPr>
        <w:t>8</w:t>
      </w:r>
      <w:r w:rsidRPr="00754431">
        <w:rPr>
          <w:bCs/>
          <w:i/>
        </w:rPr>
        <w:t xml:space="preserve"> out of 1</w:t>
      </w:r>
      <w:r w:rsidR="00F93D54">
        <w:rPr>
          <w:bCs/>
          <w:i/>
        </w:rPr>
        <w:t>2</w:t>
      </w:r>
      <w:r w:rsidRPr="00754431">
        <w:rPr>
          <w:bCs/>
          <w:i/>
        </w:rPr>
        <w:t xml:space="preserve"> reports issued. For Recruitment Follow-up, Archive </w:t>
      </w:r>
      <w:proofErr w:type="spellStart"/>
      <w:proofErr w:type="gramStart"/>
      <w:r w:rsidRPr="00754431">
        <w:rPr>
          <w:bCs/>
          <w:i/>
        </w:rPr>
        <w:t>Management</w:t>
      </w:r>
      <w:r w:rsidR="00F93D54">
        <w:rPr>
          <w:bCs/>
          <w:i/>
        </w:rPr>
        <w:t>,</w:t>
      </w:r>
      <w:r w:rsidR="00D703B3" w:rsidRPr="00754431">
        <w:rPr>
          <w:bCs/>
          <w:i/>
        </w:rPr>
        <w:t>Workforce</w:t>
      </w:r>
      <w:proofErr w:type="spellEnd"/>
      <w:proofErr w:type="gramEnd"/>
      <w:r w:rsidR="00D703B3" w:rsidRPr="00754431">
        <w:rPr>
          <w:bCs/>
          <w:i/>
        </w:rPr>
        <w:t xml:space="preserve"> Planning</w:t>
      </w:r>
      <w:r w:rsidR="00F93D54">
        <w:rPr>
          <w:bCs/>
          <w:i/>
        </w:rPr>
        <w:t xml:space="preserve"> and Payments and Creditors (Contracts Expenditure)</w:t>
      </w:r>
      <w:r w:rsidRPr="00754431">
        <w:rPr>
          <w:bCs/>
          <w:i/>
        </w:rPr>
        <w:t xml:space="preserve"> only a limited assurance opinion was given.</w:t>
      </w:r>
      <w:r w:rsidR="00F93D54">
        <w:rPr>
          <w:bCs/>
          <w:i/>
        </w:rPr>
        <w:t xml:space="preserve"> The Workforce Planning and Payments and Creditors </w:t>
      </w:r>
      <w:proofErr w:type="spellStart"/>
      <w:r w:rsidR="00F93D54">
        <w:rPr>
          <w:bCs/>
          <w:i/>
        </w:rPr>
        <w:t>reportsboth</w:t>
      </w:r>
      <w:proofErr w:type="spellEnd"/>
      <w:r w:rsidR="00F93D54">
        <w:rPr>
          <w:bCs/>
          <w:i/>
        </w:rPr>
        <w:t xml:space="preserve"> gave split assurances and did give substantial assurances in the areas of Officer Uplift (Workforce Planning) and Payments and Creditors (Payments and Creditors). Actions have been undertaken to address this </w:t>
      </w:r>
      <w:proofErr w:type="spellStart"/>
      <w:r w:rsidR="00F93D54">
        <w:rPr>
          <w:bCs/>
          <w:i/>
        </w:rPr>
        <w:t>isuue</w:t>
      </w:r>
      <w:proofErr w:type="spellEnd"/>
      <w:r w:rsidR="00F93D54">
        <w:rPr>
          <w:bCs/>
          <w:i/>
        </w:rPr>
        <w:t>.</w:t>
      </w:r>
    </w:p>
    <w:p w14:paraId="6D9DA495" w14:textId="77777777" w:rsidR="00A44EA5" w:rsidRPr="00FA2DF6" w:rsidRDefault="00A44EA5" w:rsidP="006C1EEF">
      <w:pPr>
        <w:numPr>
          <w:ilvl w:val="1"/>
          <w:numId w:val="29"/>
        </w:numPr>
        <w:spacing w:before="0" w:after="200" w:line="276" w:lineRule="auto"/>
      </w:pPr>
      <w:r w:rsidRPr="00FA2DF6">
        <w:t xml:space="preserve">Following the issue of the ‘limited assurance’ opinion in respect of the HR – Recruit to Reward internal audit during 2018/19, the Chief Constable put in place an action plan to address the recommendations that were agreed following the audit. A follow-up internal audit was carried out during 2019/20 to review the implementation of these recommendations and carry out further compliance testing to provide assurance that the controls have been effectively embedded. This found that whilst procedures had been put in place, some weaknesses were yet to be addressed. The “limited assurance” opinion was unchanged and further recommendations have been made. </w:t>
      </w:r>
      <w:r w:rsidRPr="00FA2DF6">
        <w:rPr>
          <w:rFonts w:cs="Arial"/>
          <w:color w:val="auto"/>
          <w:lang w:eastAsia="en-US"/>
        </w:rPr>
        <w:t>As a result, the PCC and Chief Constable agreed to commission an independent review of the Scheme of Governance which would include some of the issues identified in the HR-Recruit to Reward internal audit</w:t>
      </w:r>
      <w:r w:rsidRPr="00FA2DF6">
        <w:t>. The remaining issues have now been satisfactorily resolved and will be reported as concluded within the 2020/21 Annual Internal Audit Report.</w:t>
      </w:r>
    </w:p>
    <w:p w14:paraId="53BFEAE1" w14:textId="77777777" w:rsidR="00A44EA5" w:rsidRPr="00FA2DF6" w:rsidRDefault="00A44EA5" w:rsidP="006C1EEF">
      <w:pPr>
        <w:numPr>
          <w:ilvl w:val="1"/>
          <w:numId w:val="29"/>
        </w:numPr>
        <w:spacing w:before="0" w:after="200" w:line="276" w:lineRule="auto"/>
      </w:pPr>
      <w:r w:rsidRPr="00FA2DF6">
        <w:t xml:space="preserve">A working group was set up during 2019/20 to undertake a review of the PCC and CC’s governance arrangements to ensure that they are fit for purpose. This is chaired by the Chair of JIAC and includes the Chair of the Ethics Committee and representatives from both JIAC and the Police &amp; Crime Panel, in addition to the Chief Executive and Chief Finance Officer for the PCC and the Deputy Chief Constable and Chief Finance Officer for the CC. This will seek to address the issues raised within the HR internal audit report in addition to a more general review of the Integrated Scheme of Governance as a whole.    </w:t>
      </w:r>
    </w:p>
    <w:p w14:paraId="04A2923C" w14:textId="77777777" w:rsidR="00A44EA5" w:rsidRPr="00FA2DF6" w:rsidRDefault="00A44EA5" w:rsidP="006C1EEF">
      <w:pPr>
        <w:numPr>
          <w:ilvl w:val="1"/>
          <w:numId w:val="29"/>
        </w:numPr>
        <w:spacing w:before="0" w:after="200" w:line="276" w:lineRule="auto"/>
      </w:pPr>
      <w:r w:rsidRPr="00FA2DF6">
        <w:rPr>
          <w:rFonts w:eastAsia="MS Mincho" w:cs="Arial"/>
          <w:color w:val="auto"/>
          <w:szCs w:val="23"/>
        </w:rPr>
        <w:t>Since its first meeting in September 2019, the Governance Working Group has reached a view on most of the points under consideration and provided a summary of action points in February 2020. The actions have been considered by senior officers and a plan of action has been agreed to fit in with the Corporate Planning and Budget Setting cycle during 2020/21. This will include drawing up a local protocol, reviewing the scheme of delegation including elements of the G4S contract, and improving the governance content of PCC and CC induction packs. The Governance Working Group remains an important reference point as this work progresses to completion.</w:t>
      </w:r>
    </w:p>
    <w:p w14:paraId="6BD0A8C3" w14:textId="77777777" w:rsidR="00A44EA5" w:rsidRDefault="00A44EA5" w:rsidP="006C1EEF">
      <w:pPr>
        <w:numPr>
          <w:ilvl w:val="1"/>
          <w:numId w:val="29"/>
        </w:numPr>
        <w:spacing w:before="0" w:after="200" w:line="276" w:lineRule="auto"/>
      </w:pPr>
      <w:r w:rsidRPr="00CF032E">
        <w:t>Following the issue of the ‘limited assurance’ opinion in respect of the Archive Management internal audit during 2020/21, the Chief Constable has put in place an action plan to address the recommendations that were agreed following the audit. The review resulted in 4 recommendations, of which 1 was fundamental, all of which have now been addressed.</w:t>
      </w:r>
    </w:p>
    <w:p w14:paraId="3EE73E0C" w14:textId="77777777" w:rsidR="00A44EA5" w:rsidRPr="00CF032E" w:rsidRDefault="00A44EA5" w:rsidP="006C1EEF">
      <w:pPr>
        <w:numPr>
          <w:ilvl w:val="1"/>
          <w:numId w:val="29"/>
        </w:numPr>
        <w:spacing w:before="0" w:after="200" w:line="276" w:lineRule="auto"/>
      </w:pPr>
      <w:r w:rsidRPr="00CF032E">
        <w:lastRenderedPageBreak/>
        <w:t xml:space="preserve">Following the issue of the ‘limited assurance’ opinion in respect of the </w:t>
      </w:r>
      <w:r>
        <w:t>Expenditure on Contracts</w:t>
      </w:r>
      <w:r w:rsidRPr="00CF032E">
        <w:t xml:space="preserve"> internal audit during 2020/21, the Chief Constable has put in place an action plan to address the recommendation that were agreed following the audit. The review resulted in </w:t>
      </w:r>
      <w:r>
        <w:t>1 fundamental</w:t>
      </w:r>
      <w:r w:rsidRPr="00CF032E">
        <w:t xml:space="preserve"> recommendation, which ha</w:t>
      </w:r>
      <w:r>
        <w:t>s</w:t>
      </w:r>
      <w:r w:rsidRPr="00CF032E">
        <w:t xml:space="preserve"> now been addressed.</w:t>
      </w:r>
    </w:p>
    <w:p w14:paraId="484419EA" w14:textId="77777777" w:rsidR="00A44EA5" w:rsidRPr="000902C1" w:rsidRDefault="00A44EA5" w:rsidP="006C1EEF">
      <w:pPr>
        <w:numPr>
          <w:ilvl w:val="1"/>
          <w:numId w:val="29"/>
        </w:numPr>
        <w:spacing w:before="0" w:after="200" w:line="276" w:lineRule="auto"/>
      </w:pPr>
      <w:r w:rsidRPr="000902C1">
        <w:t xml:space="preserve">The Public Assurance meetings consider police </w:t>
      </w:r>
      <w:proofErr w:type="gramStart"/>
      <w:r w:rsidRPr="000902C1">
        <w:t>performance</w:t>
      </w:r>
      <w:proofErr w:type="gramEnd"/>
      <w:r w:rsidRPr="000902C1">
        <w:t xml:space="preserve"> and the Police and Crime Strategic Board (PCSB) considers financial and people resources. The PCSB also considers long term strategy development, the assurance map, significant and emerging risk areas and the Chief Constable’s report. </w:t>
      </w:r>
    </w:p>
    <w:p w14:paraId="77A311C0" w14:textId="77777777" w:rsidR="00A44EA5" w:rsidRPr="000902C1" w:rsidRDefault="00A44EA5" w:rsidP="006C1EEF">
      <w:pPr>
        <w:numPr>
          <w:ilvl w:val="1"/>
          <w:numId w:val="29"/>
        </w:numPr>
        <w:spacing w:before="0" w:after="200" w:line="276" w:lineRule="auto"/>
      </w:pPr>
      <w:r w:rsidRPr="000902C1">
        <w:t>The effectiveness of the governance framework is reviewed annually by the Chief Constable.  The review has been informed by:</w:t>
      </w:r>
    </w:p>
    <w:p w14:paraId="45ECFA98" w14:textId="77777777" w:rsidR="00A44EA5" w:rsidRPr="000902C1" w:rsidRDefault="00A44EA5" w:rsidP="006C1EEF">
      <w:pPr>
        <w:numPr>
          <w:ilvl w:val="0"/>
          <w:numId w:val="26"/>
        </w:numPr>
        <w:spacing w:before="0" w:after="200" w:line="276" w:lineRule="auto"/>
        <w:ind w:left="993" w:hanging="284"/>
      </w:pPr>
      <w:r w:rsidRPr="000902C1">
        <w:t xml:space="preserve">Consideration of the Chief Constable’s risk management </w:t>
      </w:r>
      <w:proofErr w:type="gramStart"/>
      <w:r w:rsidRPr="000902C1">
        <w:t>regime;</w:t>
      </w:r>
      <w:proofErr w:type="gramEnd"/>
      <w:r w:rsidRPr="000902C1">
        <w:t xml:space="preserve"> </w:t>
      </w:r>
    </w:p>
    <w:p w14:paraId="2F567F33" w14:textId="77777777" w:rsidR="00A44EA5" w:rsidRPr="003F216F" w:rsidRDefault="00A44EA5" w:rsidP="006C1EEF">
      <w:pPr>
        <w:numPr>
          <w:ilvl w:val="0"/>
          <w:numId w:val="26"/>
        </w:numPr>
        <w:spacing w:before="0" w:after="200" w:line="276" w:lineRule="auto"/>
        <w:ind w:left="993" w:hanging="284"/>
      </w:pPr>
      <w:r w:rsidRPr="003F216F">
        <w:t xml:space="preserve">The code of corporate </w:t>
      </w:r>
      <w:proofErr w:type="gramStart"/>
      <w:r w:rsidRPr="003F216F">
        <w:t>governance;</w:t>
      </w:r>
      <w:proofErr w:type="gramEnd"/>
    </w:p>
    <w:p w14:paraId="245A832C" w14:textId="77777777" w:rsidR="00A44EA5" w:rsidRPr="003F216F" w:rsidRDefault="00A44EA5" w:rsidP="006C1EEF">
      <w:pPr>
        <w:numPr>
          <w:ilvl w:val="0"/>
          <w:numId w:val="26"/>
        </w:numPr>
        <w:spacing w:before="0" w:after="200" w:line="276" w:lineRule="auto"/>
        <w:ind w:left="993" w:hanging="284"/>
      </w:pPr>
      <w:r w:rsidRPr="003F216F">
        <w:t>The Integrated Scheme of Governance (ISG) which came into effect on 1 April 2014, was reviewed in July 2019, which includes the Scheme of Consent, Commissioner’s and Chief Constable’s Scheme of Delegation and the Financial and Contract regulations (see 6.9 above</w:t>
      </w:r>
      <w:proofErr w:type="gramStart"/>
      <w:r w:rsidRPr="003F216F">
        <w:t>);</w:t>
      </w:r>
      <w:proofErr w:type="gramEnd"/>
    </w:p>
    <w:p w14:paraId="3F66F8F0" w14:textId="77777777" w:rsidR="00A44EA5" w:rsidRPr="000902C1" w:rsidRDefault="00A44EA5" w:rsidP="006C1EEF">
      <w:pPr>
        <w:numPr>
          <w:ilvl w:val="0"/>
          <w:numId w:val="26"/>
        </w:numPr>
        <w:spacing w:before="0" w:after="200" w:line="276" w:lineRule="auto"/>
        <w:ind w:left="993" w:hanging="284"/>
      </w:pPr>
      <w:r w:rsidRPr="000902C1">
        <w:t>Consideration of the Commissioner and Chief Constable’s joint assurance map (through both developmental and embedded stages</w:t>
      </w:r>
      <w:proofErr w:type="gramStart"/>
      <w:r w:rsidRPr="000902C1">
        <w:t>);</w:t>
      </w:r>
      <w:proofErr w:type="gramEnd"/>
    </w:p>
    <w:p w14:paraId="6C68F3BD" w14:textId="77777777" w:rsidR="00A44EA5" w:rsidRPr="000902C1" w:rsidRDefault="00A44EA5" w:rsidP="006C1EEF">
      <w:pPr>
        <w:numPr>
          <w:ilvl w:val="0"/>
          <w:numId w:val="26"/>
        </w:numPr>
        <w:spacing w:before="0" w:after="200" w:line="276" w:lineRule="auto"/>
        <w:ind w:left="993" w:hanging="284"/>
      </w:pPr>
      <w:r w:rsidRPr="000902C1">
        <w:t xml:space="preserve">HMICFRS reporting and </w:t>
      </w:r>
      <w:proofErr w:type="gramStart"/>
      <w:r w:rsidRPr="000902C1">
        <w:t>work;</w:t>
      </w:r>
      <w:proofErr w:type="gramEnd"/>
    </w:p>
    <w:p w14:paraId="115B90B9" w14:textId="77777777" w:rsidR="00A44EA5" w:rsidRPr="000902C1" w:rsidRDefault="00A44EA5" w:rsidP="006C1EEF">
      <w:pPr>
        <w:numPr>
          <w:ilvl w:val="0"/>
          <w:numId w:val="26"/>
        </w:numPr>
        <w:spacing w:before="0" w:after="200" w:line="276" w:lineRule="auto"/>
        <w:ind w:left="993" w:hanging="284"/>
      </w:pPr>
      <w:r w:rsidRPr="000902C1">
        <w:t xml:space="preserve">External and internal auditors and their formal </w:t>
      </w:r>
      <w:proofErr w:type="gramStart"/>
      <w:r w:rsidRPr="000902C1">
        <w:t>reporting;</w:t>
      </w:r>
      <w:proofErr w:type="gramEnd"/>
    </w:p>
    <w:p w14:paraId="00CBD4D0" w14:textId="77777777" w:rsidR="00A44EA5" w:rsidRPr="000902C1" w:rsidRDefault="00A44EA5" w:rsidP="006C1EEF">
      <w:pPr>
        <w:numPr>
          <w:ilvl w:val="0"/>
          <w:numId w:val="26"/>
        </w:numPr>
        <w:spacing w:before="0" w:after="200" w:line="276" w:lineRule="auto"/>
        <w:ind w:left="993" w:hanging="284"/>
      </w:pPr>
      <w:r w:rsidRPr="000902C1">
        <w:t xml:space="preserve">Managing change, developing our policing model to meet threat, risk and harm and new technologies, all of which are discussed at the Strategic Management </w:t>
      </w:r>
      <w:proofErr w:type="gramStart"/>
      <w:r w:rsidRPr="000902C1">
        <w:t>Board;</w:t>
      </w:r>
      <w:proofErr w:type="gramEnd"/>
    </w:p>
    <w:p w14:paraId="26AFED9B" w14:textId="77777777" w:rsidR="00A44EA5" w:rsidRPr="004608A0" w:rsidRDefault="00A44EA5" w:rsidP="006C1EEF">
      <w:pPr>
        <w:numPr>
          <w:ilvl w:val="0"/>
          <w:numId w:val="26"/>
        </w:numPr>
        <w:spacing w:before="0" w:after="200" w:line="276" w:lineRule="auto"/>
        <w:ind w:left="993" w:hanging="284"/>
      </w:pPr>
      <w:r w:rsidRPr="004608A0">
        <w:t>Feedback received from the JIAC.</w:t>
      </w:r>
    </w:p>
    <w:p w14:paraId="463B1612" w14:textId="77777777" w:rsidR="00A44EA5" w:rsidRPr="004608A0" w:rsidRDefault="00A44EA5" w:rsidP="006C1EEF">
      <w:pPr>
        <w:numPr>
          <w:ilvl w:val="1"/>
          <w:numId w:val="29"/>
        </w:numPr>
        <w:spacing w:before="0" w:after="200" w:line="276" w:lineRule="auto"/>
      </w:pPr>
      <w:r w:rsidRPr="004608A0">
        <w:t xml:space="preserve">In 2018 HMICFRS introduced the Integrated PEEL Assessment (IPA) and Force Management Statements (FMS) as an integral part of the revised Integrated PEEL Assessment (IPA). The evidence is used to assess the three pillars of effectiveness, efficiency and legitimacy of the Police Service, each pillar is led by a chief officer.  HMICFRS has introduced these assessments so that the public will be able to assess the performance of their own Force. Forces will be required to publish the Force Management Statements in future years, although this requirement </w:t>
      </w:r>
      <w:proofErr w:type="gramStart"/>
      <w:r w:rsidRPr="004608A0">
        <w:t>was been</w:t>
      </w:r>
      <w:proofErr w:type="gramEnd"/>
      <w:r w:rsidRPr="004608A0">
        <w:t xml:space="preserve"> waived for the first year.</w:t>
      </w:r>
    </w:p>
    <w:p w14:paraId="63CA8FCF" w14:textId="77777777" w:rsidR="00A44EA5" w:rsidRPr="004608A0" w:rsidRDefault="00A44EA5" w:rsidP="006C1EEF">
      <w:pPr>
        <w:numPr>
          <w:ilvl w:val="0"/>
          <w:numId w:val="27"/>
        </w:numPr>
        <w:spacing w:before="0" w:after="200" w:line="276" w:lineRule="auto"/>
        <w:ind w:left="993" w:hanging="284"/>
      </w:pPr>
      <w:r w:rsidRPr="004608A0">
        <w:t xml:space="preserve">HMICFRS published the last PEEL Efficiency (including Leadership) report in November 2017 which assessed Lincolnshire Police on how efficient the force is at keeping people safe and reducing crime. </w:t>
      </w:r>
    </w:p>
    <w:p w14:paraId="6CFBE37E" w14:textId="77777777" w:rsidR="00A44EA5" w:rsidRPr="004608A0" w:rsidRDefault="00A44EA5" w:rsidP="006C1EEF">
      <w:pPr>
        <w:ind w:left="709"/>
      </w:pPr>
      <w:r w:rsidRPr="004608A0">
        <w:t>This was the last PEEL Efficiency inspection before the introduction of FMS.  The first integrated PEEL inspection of Lincolnshire Police started its data collection in March 2019 with the formal inspection taking place in June 2019 and the results were published in November 2019.</w:t>
      </w:r>
    </w:p>
    <w:p w14:paraId="16535D2D" w14:textId="77777777" w:rsidR="00A44EA5" w:rsidRPr="004608A0" w:rsidRDefault="00A44EA5" w:rsidP="006C1EEF">
      <w:pPr>
        <w:numPr>
          <w:ilvl w:val="1"/>
          <w:numId w:val="29"/>
        </w:numPr>
        <w:spacing w:before="0" w:after="200" w:line="276" w:lineRule="auto"/>
      </w:pPr>
      <w:r w:rsidRPr="004608A0">
        <w:lastRenderedPageBreak/>
        <w:t>In November 2019 HMICFRS graded the force as follows:</w:t>
      </w:r>
    </w:p>
    <w:p w14:paraId="172A3954" w14:textId="77777777" w:rsidR="00A44EA5" w:rsidRPr="004608A0" w:rsidRDefault="00A44EA5" w:rsidP="006C1EEF">
      <w:pPr>
        <w:numPr>
          <w:ilvl w:val="0"/>
          <w:numId w:val="43"/>
        </w:numPr>
        <w:spacing w:before="0" w:after="200" w:line="276" w:lineRule="auto"/>
        <w:ind w:left="993" w:hanging="284"/>
      </w:pPr>
      <w:r w:rsidRPr="004608A0">
        <w:t xml:space="preserve">Effectiveness – </w:t>
      </w:r>
      <w:proofErr w:type="gramStart"/>
      <w:r w:rsidRPr="004608A0">
        <w:t>Good;</w:t>
      </w:r>
      <w:proofErr w:type="gramEnd"/>
    </w:p>
    <w:p w14:paraId="49E604E9" w14:textId="77777777" w:rsidR="00A44EA5" w:rsidRPr="004608A0" w:rsidRDefault="00A44EA5" w:rsidP="006C1EEF">
      <w:pPr>
        <w:numPr>
          <w:ilvl w:val="0"/>
          <w:numId w:val="43"/>
        </w:numPr>
        <w:spacing w:before="0" w:after="200" w:line="276" w:lineRule="auto"/>
        <w:ind w:left="993" w:hanging="284"/>
      </w:pPr>
      <w:r w:rsidRPr="004608A0">
        <w:t xml:space="preserve">Legitimacy – </w:t>
      </w:r>
      <w:proofErr w:type="gramStart"/>
      <w:r w:rsidRPr="004608A0">
        <w:t>Good;</w:t>
      </w:r>
      <w:proofErr w:type="gramEnd"/>
    </w:p>
    <w:p w14:paraId="18573DBB" w14:textId="77777777" w:rsidR="00A44EA5" w:rsidRPr="004608A0" w:rsidRDefault="00A44EA5" w:rsidP="006C1EEF">
      <w:pPr>
        <w:numPr>
          <w:ilvl w:val="0"/>
          <w:numId w:val="43"/>
        </w:numPr>
        <w:spacing w:before="0" w:after="200" w:line="276" w:lineRule="auto"/>
        <w:ind w:left="993" w:hanging="284"/>
      </w:pPr>
      <w:r w:rsidRPr="004608A0">
        <w:t>Efficiency – requires improvement.</w:t>
      </w:r>
    </w:p>
    <w:p w14:paraId="65E7F5AA" w14:textId="77777777" w:rsidR="00A44EA5" w:rsidRPr="00DD5DD8" w:rsidRDefault="00A44EA5" w:rsidP="006C1EEF">
      <w:pPr>
        <w:ind w:left="709"/>
      </w:pPr>
      <w:r w:rsidRPr="004608A0">
        <w:t xml:space="preserve">Within the Efficiency overall grading, HMICFRS graded the force as </w:t>
      </w:r>
      <w:r w:rsidRPr="004608A0">
        <w:rPr>
          <w:b/>
        </w:rPr>
        <w:t>Good</w:t>
      </w:r>
      <w:r w:rsidRPr="004608A0">
        <w:t xml:space="preserve"> in respect of “meeting current demands and using resources” but </w:t>
      </w:r>
      <w:r w:rsidRPr="004608A0">
        <w:rPr>
          <w:b/>
        </w:rPr>
        <w:t>Requires Improvement</w:t>
      </w:r>
      <w:r w:rsidRPr="004608A0">
        <w:t xml:space="preserve"> in respect of “planning for the future”. At the time of the inspection, the force was implementing a savings programme necessitating significant reductions in the workforce to deliver a balanced budget. As a result, HMICFRS expressed concerns around the risks in service delivery and meeting future demand with the reduced workforce. The next HMICFRS policing inspection programme is to be carried out in </w:t>
      </w:r>
      <w:r w:rsidRPr="00DD5DD8">
        <w:t xml:space="preserve">2021/22.   </w:t>
      </w:r>
    </w:p>
    <w:p w14:paraId="0EC86695" w14:textId="77777777" w:rsidR="00A44EA5" w:rsidRPr="00DD5DD8" w:rsidRDefault="00A44EA5" w:rsidP="006C1EEF">
      <w:pPr>
        <w:numPr>
          <w:ilvl w:val="1"/>
          <w:numId w:val="29"/>
        </w:numPr>
        <w:spacing w:before="0" w:after="200" w:line="276" w:lineRule="auto"/>
        <w:rPr>
          <w:i/>
        </w:rPr>
      </w:pPr>
      <w:r w:rsidRPr="00DD5DD8">
        <w:t>The Crime Data Integrity Inspection was published in July 2018. The overall judgement was Inadequate, stating that the force failed to record over 9,400 crimes each year. The force was disappointed with this result and robustly challenged the findings as it was felt that whilst there were differences in the processes of recording crimes, the “non-compliance” recorded by HMICFRS did not fail victims of crime. Rather, this was a case of recording multiple instances of crime with one victim as a single incident. The victim was identified and supported appropriately throughout the process, even if the total number of crimes had not been recorded as such. The force has now made changes to the crime recording processes so that compliance will be observed going forward.</w:t>
      </w:r>
    </w:p>
    <w:p w14:paraId="39142437" w14:textId="77777777" w:rsidR="00A44EA5" w:rsidRPr="00DD5DD8" w:rsidRDefault="00A44EA5" w:rsidP="006C1EEF">
      <w:pPr>
        <w:numPr>
          <w:ilvl w:val="1"/>
          <w:numId w:val="29"/>
        </w:numPr>
        <w:spacing w:before="0" w:after="200" w:line="276" w:lineRule="auto"/>
      </w:pPr>
      <w:r w:rsidRPr="00DD5DD8">
        <w:t xml:space="preserve">The Crime Data Integrity re-inspection was published in February 2020. The overall judgement was good, stating a significant improvement in overall crime recording. It is estimated that, compared to the findings of the 2018 inspection, this improved accuracy has meant the force has recorded an additional 5,800 crimes for the year covered by the re-inspection period.   </w:t>
      </w:r>
    </w:p>
    <w:p w14:paraId="54BE33C3" w14:textId="77777777" w:rsidR="00A44EA5" w:rsidRPr="00DD5DD8" w:rsidRDefault="00A44EA5" w:rsidP="006C1EEF">
      <w:pPr>
        <w:numPr>
          <w:ilvl w:val="1"/>
          <w:numId w:val="29"/>
        </w:numPr>
        <w:spacing w:before="0" w:after="200" w:line="276" w:lineRule="auto"/>
      </w:pPr>
      <w:r w:rsidRPr="00DD5DD8">
        <w:t xml:space="preserve">The National Child Protection Inspection took place in September 2018 and the final report published in February 2019. The report acknowledged the clear commitment of senior leaders within the force to child protection and safeguarding and improving its services for children. It identified the main areas for attention as lack of effective supervision and appropriate training provision. The report also recognised that the force engages well with local authority partners. The report made </w:t>
      </w:r>
      <w:proofErr w:type="gramStart"/>
      <w:r w:rsidRPr="00DD5DD8">
        <w:t>a number of</w:t>
      </w:r>
      <w:proofErr w:type="gramEnd"/>
      <w:r w:rsidRPr="00DD5DD8">
        <w:t xml:space="preserve"> recommendations for immediate attention, within 3 months and 6 months and stated that subject to receiving an update and action plan from the force, HMICFRS would revisit no later than 6 months to assess the implementation of the recommendations.     </w:t>
      </w:r>
    </w:p>
    <w:p w14:paraId="1FD49B41" w14:textId="77777777" w:rsidR="00A44EA5" w:rsidRPr="00DD5DD8" w:rsidRDefault="00A44EA5" w:rsidP="006C1EEF">
      <w:pPr>
        <w:numPr>
          <w:ilvl w:val="1"/>
          <w:numId w:val="29"/>
        </w:numPr>
        <w:spacing w:before="0" w:after="200" w:line="276" w:lineRule="auto"/>
      </w:pPr>
      <w:r w:rsidRPr="00DD5DD8">
        <w:t xml:space="preserve">The National Child Protection post–inspection review took place in October 2019 and the report was published in March 2020. The report acknowledges that since the 2018 inspection, the force has taken steps to improve safeguarding practice and outcomes for vulnerable children, changed its structures and reviewed its systems, procedures and processes and has invested in training for investigators and frontline officers and staff. HMICFRS still remain concerned about the standard of investigations. They found that cases lacked effective supervision, investigative opportunities were missed, </w:t>
      </w:r>
      <w:r w:rsidRPr="00DD5DD8">
        <w:lastRenderedPageBreak/>
        <w:t xml:space="preserve">decisions to take no further action were made too soon and there was unnecessary drift and delay in progressing enquiries. As a result, HMICFRS are due to revisit the force within 12 months to carry out a further assessment. At the time of the inspection there were several new initiatives that had not been fully implemented and so had not yet taken effect, including a vulnerability delivery group, crime scrutiny panels to audit and scrutinise practice and a web and app-based guide for officers dealing with problems involving vulnerable people. HMICFRS revisited the Force in October 2020, where they reported that the Force had made improvements against the recommendations made in the 2018 report and since the post inspection review in 2019. The Force has committed a considerable amount of time and energy into making sure that officers and staff within the PVPU have the necessary skills to investigate child abuse. HMICFRS confirmed staff levels had improved and staff had enough resources and support to do their jobs. The unit still look to continue their improvements through better training, better use of technology, streamlined processes and qualitative audit. </w:t>
      </w:r>
    </w:p>
    <w:p w14:paraId="3A54D72B" w14:textId="77777777" w:rsidR="00A44EA5" w:rsidRPr="003F216F" w:rsidRDefault="00A44EA5" w:rsidP="006C1EEF">
      <w:pPr>
        <w:numPr>
          <w:ilvl w:val="1"/>
          <w:numId w:val="29"/>
        </w:numPr>
        <w:spacing w:before="0" w:after="200" w:line="276" w:lineRule="auto"/>
      </w:pPr>
      <w:r w:rsidRPr="000902C1">
        <w:t xml:space="preserve">Assurance on the effectiveness of the Chief Constable’s financial controls has been provided by the Force Chief Finance Officer who was designated as the responsible officer for the administration of financial affairs under section 151 of the Local Government Act 1972. Systems are in place to ensure the lawfulness and financial prudence of decision making and to fully discharge the responsibilities of the role. The financial arrangements in place conform to the governance requirements of the CIPFA </w:t>
      </w:r>
      <w:r w:rsidRPr="003F216F">
        <w:t>Statement on the Role of the CFO in Local Government (2010).</w:t>
      </w:r>
    </w:p>
    <w:p w14:paraId="63CF5C31" w14:textId="77777777" w:rsidR="00A44EA5" w:rsidRPr="003F216F" w:rsidRDefault="00A44EA5" w:rsidP="006C1EEF">
      <w:pPr>
        <w:numPr>
          <w:ilvl w:val="1"/>
          <w:numId w:val="29"/>
        </w:numPr>
        <w:spacing w:before="0" w:after="200" w:line="276" w:lineRule="auto"/>
      </w:pPr>
      <w:r w:rsidRPr="003F216F">
        <w:t xml:space="preserve">The Integrated Scheme of Governance (ISG) was introduced in April 2014 to reflect the new governance arrangements arising from the Police Reform and Social Responsibility Act 2011.  The JIAC has been consulted on the scheme and its content is reviewed annually.  The ISG was reviewed in November 2015 and whilst determined to be fit for purpose required some minor updating.  This was reviewed by JIAC in April 2018. Since then a number of issues arising prompted a full review, in July 2019, of the ISG which was undertaken by a working group, chaired by the Chair of JIAC and included the Chair of the Ethics Committee and representatives from both JIAC and the Police &amp; Crime Panel, in addition to the Chief Executive and Chief Finance Officer for the PCC and the Deputy Chief Constable and Chief Finance Officer for the CC (see in  6.9 above).      </w:t>
      </w:r>
    </w:p>
    <w:p w14:paraId="2510C042" w14:textId="77777777" w:rsidR="00A44EA5" w:rsidRPr="000902C1" w:rsidRDefault="00A44EA5" w:rsidP="006C1EEF">
      <w:pPr>
        <w:numPr>
          <w:ilvl w:val="1"/>
          <w:numId w:val="29"/>
        </w:numPr>
        <w:spacing w:before="0" w:after="200" w:line="276" w:lineRule="auto"/>
      </w:pPr>
      <w:r w:rsidRPr="000902C1">
        <w:t xml:space="preserve">The Chief Constable’s risk management arrangements are well developed and well embedded. The JIAC reviews the Chief Constable’s risk management strategy on an annual basis and monitors the Chief Constable’s strategic Risk Register quarterly.  The Chief Constable considers and reviews risk </w:t>
      </w:r>
      <w:proofErr w:type="gramStart"/>
      <w:r w:rsidRPr="000902C1">
        <w:t>on a monthly basis</w:t>
      </w:r>
      <w:proofErr w:type="gramEnd"/>
      <w:r w:rsidRPr="000902C1">
        <w:t xml:space="preserve"> through management meetings. </w:t>
      </w:r>
      <w:r w:rsidRPr="005777B9">
        <w:t>Internal audit undertook an audit of the controls and processes in place in respect of risk management in 2018/19 and provided a “significant assurance” opinion.</w:t>
      </w:r>
      <w:r w:rsidRPr="000902C1">
        <w:t xml:space="preserve"> </w:t>
      </w:r>
    </w:p>
    <w:p w14:paraId="0EAC7281" w14:textId="77777777" w:rsidR="00A44EA5" w:rsidRPr="000902C1" w:rsidRDefault="00A44EA5" w:rsidP="006C1EEF">
      <w:pPr>
        <w:numPr>
          <w:ilvl w:val="1"/>
          <w:numId w:val="29"/>
        </w:numPr>
        <w:spacing w:before="0" w:after="200" w:line="276" w:lineRule="auto"/>
      </w:pPr>
      <w:r w:rsidRPr="000902C1">
        <w:t xml:space="preserve">The Chief Constable and the Commissioner have a joint Anti-fraud and Corruption Policy in place which </w:t>
      </w:r>
      <w:r w:rsidRPr="00DC1A85">
        <w:t>has been reviewed during the year</w:t>
      </w:r>
      <w:r w:rsidRPr="000902C1">
        <w:t>. Quarterly meetings of the Anti-Fraud and Corruption Board ensure that current and emerging risks and issues in relation to anti-fraud and corruptio</w:t>
      </w:r>
      <w:r w:rsidRPr="00DC1A85">
        <w:t xml:space="preserve">n are regularly discussed and reviewed.  The JIAC are kept abreast of any issues arising.  Mandatory training on counter corruption continued to be delivered to all staff and officers across the organisations via the </w:t>
      </w:r>
      <w:r w:rsidRPr="00DC1A85">
        <w:lastRenderedPageBreak/>
        <w:t xml:space="preserve">NCALT e-learning </w:t>
      </w:r>
      <w:proofErr w:type="gramStart"/>
      <w:r w:rsidRPr="00DC1A85">
        <w:t>system;</w:t>
      </w:r>
      <w:proofErr w:type="gramEnd"/>
      <w:r w:rsidRPr="00DC1A85">
        <w:t xml:space="preserve"> raising awareness of issues surrounding police corruption and misconduct.</w:t>
      </w:r>
      <w:r w:rsidRPr="000902C1">
        <w:t xml:space="preserve">  The PCSB adopted the CIPFA Code of Practice on Managing the Risk of Fraud and Corruption published in 2014 and has implemented an effective anti-fraud and corruption strategy.  An assessment of the Force capability has been made against the adopted CIPFA code.  </w:t>
      </w:r>
    </w:p>
    <w:p w14:paraId="08B18021" w14:textId="77777777" w:rsidR="00A44EA5" w:rsidRPr="000902C1" w:rsidRDefault="00A44EA5" w:rsidP="006C1EEF">
      <w:pPr>
        <w:numPr>
          <w:ilvl w:val="1"/>
          <w:numId w:val="29"/>
        </w:numPr>
        <w:spacing w:before="0" w:after="200" w:line="276" w:lineRule="auto"/>
      </w:pPr>
      <w:r w:rsidRPr="000902C1">
        <w:t>Having considered all the principles, the Professional Standards Department are satisfied that, the organisation has adopted a response that is appropriate for its fraud and corruption risks and commits to maintain its vigilance to tackle fraud.</w:t>
      </w:r>
    </w:p>
    <w:p w14:paraId="1C8D2D7C" w14:textId="77777777" w:rsidR="00A44EA5" w:rsidRPr="000902C1" w:rsidRDefault="00A44EA5" w:rsidP="006C1EEF">
      <w:pPr>
        <w:numPr>
          <w:ilvl w:val="1"/>
          <w:numId w:val="29"/>
        </w:numPr>
        <w:spacing w:before="0" w:after="200" w:line="276" w:lineRule="auto"/>
      </w:pPr>
      <w:r w:rsidRPr="000902C1">
        <w:t>The Chief Constable has been advised on the implications of the result of the review of the effectiveness of the governance framework by the executive team and that the arrangements continue to be regarded as fit for purpose in accordance with the governance framework. The areas already addressed and those to be specifically addressed with new actions planned are outlined below.</w:t>
      </w:r>
    </w:p>
    <w:p w14:paraId="6F16AA10" w14:textId="54859026" w:rsidR="00A44EA5" w:rsidRPr="000902C1" w:rsidRDefault="00A44EA5" w:rsidP="006C1EEF">
      <w:pPr>
        <w:numPr>
          <w:ilvl w:val="0"/>
          <w:numId w:val="29"/>
        </w:numPr>
        <w:spacing w:before="0" w:after="200" w:line="276" w:lineRule="auto"/>
        <w:rPr>
          <w:b/>
        </w:rPr>
      </w:pPr>
      <w:r w:rsidRPr="000902C1">
        <w:rPr>
          <w:b/>
        </w:rPr>
        <w:t>Significant Governance Issues</w:t>
      </w:r>
    </w:p>
    <w:p w14:paraId="5387149C" w14:textId="77777777" w:rsidR="00A44EA5" w:rsidRPr="000902C1" w:rsidRDefault="00A44EA5" w:rsidP="006C1EEF">
      <w:pPr>
        <w:numPr>
          <w:ilvl w:val="1"/>
          <w:numId w:val="29"/>
        </w:numPr>
        <w:spacing w:before="0" w:after="200" w:line="276" w:lineRule="auto"/>
      </w:pPr>
      <w:r w:rsidRPr="000902C1">
        <w:t>No significant governance issues occurred during the year, which have not already been addressed through the risk register.</w:t>
      </w:r>
    </w:p>
    <w:p w14:paraId="002E74A0" w14:textId="77777777" w:rsidR="00A44EA5" w:rsidRPr="000902C1" w:rsidRDefault="00A44EA5" w:rsidP="006C1EEF">
      <w:pPr>
        <w:numPr>
          <w:ilvl w:val="1"/>
          <w:numId w:val="29"/>
        </w:numPr>
        <w:spacing w:before="0" w:after="200" w:line="276" w:lineRule="auto"/>
      </w:pPr>
      <w:r w:rsidRPr="000902C1">
        <w:t xml:space="preserve">The Risk Register is a tool that identifies the risks that would prevent or distract the Chief Constable from achieving his objectives. </w:t>
      </w:r>
    </w:p>
    <w:p w14:paraId="113CCA56" w14:textId="77777777" w:rsidR="00A44EA5" w:rsidRPr="000902C1" w:rsidRDefault="00A44EA5" w:rsidP="006C1EEF">
      <w:pPr>
        <w:numPr>
          <w:ilvl w:val="1"/>
          <w:numId w:val="29"/>
        </w:numPr>
        <w:spacing w:before="0" w:after="200" w:line="276" w:lineRule="auto"/>
      </w:pPr>
      <w:r w:rsidRPr="000902C1">
        <w:t xml:space="preserve">The joint assurance map is recognised by the Commissioner and the Chief Constable as a vital tool for effective corporate governance.  It provides timely and reliable information on the effectiveness of the management of major strategic risks and significant control issues; it also provides a cohesive and comprehensive view of assurance across the risk environment.  The assurance map provides much of the evidence base for this annual governance statement.  Independent assurance is also provided by the JIAC. </w:t>
      </w:r>
      <w:r>
        <w:t xml:space="preserve">The force had been using a separate assurance map but in May 2019, it was agreed that a single joint assurance map would be adopted. </w:t>
      </w:r>
      <w:r w:rsidRPr="00DC1A85">
        <w:t>A new draft joint assurance map is currently under development, to</w:t>
      </w:r>
      <w:r w:rsidRPr="000902C1">
        <w:t xml:space="preserve"> bring together key elements of the previously separate assurance maps of the OPCC and the Force. A new approach to utilising the assurance map is also being trialled, to keep the map current, to drive management activity and to help provide enhanced levels of assurance particularly on the key elements of organisational planning and delivery. The new joint map will incorporate a dashboard style summary sheet that will help provide a snapshot of the current assurance position. The body of the map will contain the underlying detail highlighting sources of assurance information and provide links to strategy, delivery and corporate reporting processes.</w:t>
      </w:r>
    </w:p>
    <w:p w14:paraId="642AFF29" w14:textId="77777777" w:rsidR="00A44EA5" w:rsidRPr="000902C1" w:rsidRDefault="00A44EA5" w:rsidP="006C1EEF">
      <w:pPr>
        <w:numPr>
          <w:ilvl w:val="1"/>
          <w:numId w:val="29"/>
        </w:numPr>
        <w:spacing w:before="0" w:after="200" w:line="276" w:lineRule="auto"/>
      </w:pPr>
      <w:r w:rsidRPr="000902C1">
        <w:t>High level risks on the assurance map are considered on a quarterly basis at a quarterly Risk Management Board which consists of all the key risk owners, to support the continuous assessment of the effectiveness of the management of risk and internal control.  The Force’s Risk Register is reviewed monthly by the Deputy Chief Constable and the Force Risk, Policy and Review Officer.</w:t>
      </w:r>
    </w:p>
    <w:p w14:paraId="608BBFC2" w14:textId="77777777" w:rsidR="00A44EA5" w:rsidRPr="000902C1" w:rsidRDefault="00A44EA5" w:rsidP="006C1EEF">
      <w:pPr>
        <w:numPr>
          <w:ilvl w:val="1"/>
          <w:numId w:val="31"/>
        </w:numPr>
        <w:spacing w:before="0" w:after="200" w:line="276" w:lineRule="auto"/>
      </w:pPr>
      <w:r w:rsidRPr="000902C1">
        <w:lastRenderedPageBreak/>
        <w:t>The Chief Constable’s significant governance issues are detailed below and include an outline of the actions taken or further work that is required to address the issues. Significant governance issues are reported to the JIAC at least 4 times each year.</w:t>
      </w:r>
    </w:p>
    <w:p w14:paraId="6C486F28" w14:textId="77777777" w:rsidR="00A44EA5" w:rsidRPr="00DC1A85" w:rsidRDefault="00A44EA5" w:rsidP="006C1EEF">
      <w:pPr>
        <w:numPr>
          <w:ilvl w:val="2"/>
          <w:numId w:val="38"/>
        </w:numPr>
        <w:spacing w:before="0" w:after="200" w:line="276" w:lineRule="auto"/>
        <w:rPr>
          <w:b/>
          <w:i/>
        </w:rPr>
      </w:pPr>
      <w:r w:rsidRPr="000902C1">
        <w:rPr>
          <w:b/>
          <w:i/>
        </w:rPr>
        <w:t xml:space="preserve">Risk of failure to persuade government of Lincolnshire’s case for a more </w:t>
      </w:r>
      <w:r w:rsidRPr="00DC1A85">
        <w:rPr>
          <w:b/>
          <w:i/>
        </w:rPr>
        <w:t>equitable share of national funding.</w:t>
      </w:r>
    </w:p>
    <w:p w14:paraId="31DD5123" w14:textId="77777777" w:rsidR="00A44EA5" w:rsidRPr="00DC1A85" w:rsidRDefault="00A44EA5" w:rsidP="006C1EEF">
      <w:pPr>
        <w:numPr>
          <w:ilvl w:val="3"/>
          <w:numId w:val="38"/>
        </w:numPr>
        <w:spacing w:before="0" w:after="200" w:line="276" w:lineRule="auto"/>
      </w:pPr>
      <w:r w:rsidRPr="00DC1A85">
        <w:t>The central government grant that Lincolnshire receives is well below the national average and this was acknowledged in the Home Office Core Grant Distribution Review, which considered potential changes to the police funding formula. The funding formula was to be considered as part of the Comprehensive Spending Review 2020, however, since the onset of the coronavirus pandemic, it looks increasingly likely that the spending review will be postponed. This means that Lincolnshire Police will continue to face the challenge of delivering services with a lower level of funding than comparable forces for at least the next two financial years. Lincolnshire Police will face an increasing budgetary gap which will necessitate significant workforce reductions to deliver a balanced budget position, placing service delivery at risk.</w:t>
      </w:r>
    </w:p>
    <w:p w14:paraId="127E6C15" w14:textId="77777777" w:rsidR="00A44EA5" w:rsidRPr="00754431" w:rsidRDefault="00A44EA5" w:rsidP="006C1EEF">
      <w:pPr>
        <w:numPr>
          <w:ilvl w:val="2"/>
          <w:numId w:val="38"/>
        </w:numPr>
        <w:spacing w:before="0" w:after="200" w:line="276" w:lineRule="auto"/>
        <w:rPr>
          <w:b/>
          <w:i/>
          <w:iCs/>
        </w:rPr>
      </w:pPr>
      <w:r w:rsidRPr="00754431">
        <w:rPr>
          <w:rFonts w:eastAsia="MS Mincho" w:cs="Arial"/>
          <w:b/>
          <w:i/>
          <w:iCs/>
          <w:color w:val="000000"/>
        </w:rPr>
        <w:t>The risk of a lack of resilience and stability within the chief officer team following significant changes in the team</w:t>
      </w:r>
    </w:p>
    <w:p w14:paraId="1705163B" w14:textId="77777777" w:rsidR="00A44EA5" w:rsidRPr="00C12CFB" w:rsidRDefault="00A44EA5" w:rsidP="006C1EEF">
      <w:pPr>
        <w:pStyle w:val="ListParagraph"/>
        <w:autoSpaceDE w:val="0"/>
        <w:autoSpaceDN w:val="0"/>
        <w:adjustRightInd w:val="0"/>
        <w:spacing w:before="240" w:after="120"/>
        <w:ind w:left="851"/>
        <w:rPr>
          <w:rFonts w:eastAsia="MS Mincho" w:cs="Arial"/>
          <w:color w:val="auto"/>
          <w:szCs w:val="23"/>
        </w:rPr>
      </w:pPr>
      <w:r w:rsidRPr="00DC1A85">
        <w:rPr>
          <w:rFonts w:eastAsia="MS Mincho" w:cs="Arial"/>
          <w:bCs/>
          <w:color w:val="000000"/>
        </w:rPr>
        <w:t xml:space="preserve">7.5.2.1 The </w:t>
      </w:r>
      <w:r w:rsidRPr="00DC1A85">
        <w:rPr>
          <w:rFonts w:eastAsia="MS Mincho" w:cs="Arial"/>
          <w:color w:val="auto"/>
          <w:szCs w:val="23"/>
        </w:rPr>
        <w:t>Chief Officer Team underwent some changes during 2019/20 with the appointment to both the ACC and DCC posts. The Assistant Chief Officer (Resources) post had been filled on a temporary basis until the Chief Constable appointed the existing postholder on a permanent basis during the year. By the end of 2019/20, all Chief Officer posts were filled on a permanent basis thereby increasing the stability of the team.</w:t>
      </w:r>
    </w:p>
    <w:p w14:paraId="39329C8B" w14:textId="77777777" w:rsidR="00A44EA5" w:rsidRPr="000902C1" w:rsidRDefault="00A44EA5" w:rsidP="006C1EEF">
      <w:pPr>
        <w:numPr>
          <w:ilvl w:val="2"/>
          <w:numId w:val="36"/>
        </w:numPr>
        <w:spacing w:before="0" w:after="200" w:line="276" w:lineRule="auto"/>
        <w:rPr>
          <w:b/>
          <w:i/>
        </w:rPr>
      </w:pPr>
      <w:r w:rsidRPr="000902C1">
        <w:rPr>
          <w:b/>
          <w:i/>
        </w:rPr>
        <w:t>Risk of failure to achieve and demonstrate efficiencies and value for money.</w:t>
      </w:r>
    </w:p>
    <w:p w14:paraId="65AC426E" w14:textId="77777777" w:rsidR="00A44EA5" w:rsidRPr="000902C1" w:rsidRDefault="00A44EA5" w:rsidP="006C1EEF">
      <w:pPr>
        <w:numPr>
          <w:ilvl w:val="3"/>
          <w:numId w:val="36"/>
        </w:numPr>
        <w:spacing w:before="0" w:after="200" w:line="276" w:lineRule="auto"/>
      </w:pPr>
      <w:r w:rsidRPr="000902C1">
        <w:t xml:space="preserve">The Commissioner and Chief Constable both have a statutory duty to make the best use of resources available to them. The capital programme continues to support this by investing in technology which improves operational </w:t>
      </w:r>
      <w:r w:rsidRPr="00DC1A85">
        <w:t>efficiency such as improved Telephony, Mobile Data, a new Command &amp; Control system and Fleet telematics.</w:t>
      </w:r>
      <w:r w:rsidRPr="000902C1">
        <w:t xml:space="preserve">  Investment decisions and benefits realisation are undertaken by the Force Change Board and monitored by the Police and Crime Strategic Board; independent assurance is gained through HMICFRS. The Financial Strategy includes performance measures relating to both financial health and financial performance, supported by </w:t>
      </w:r>
      <w:proofErr w:type="gramStart"/>
      <w:r w:rsidRPr="000902C1">
        <w:t>a number of</w:t>
      </w:r>
      <w:proofErr w:type="gramEnd"/>
      <w:r w:rsidRPr="000902C1">
        <w:t xml:space="preserve"> plans and policies</w:t>
      </w:r>
      <w:r w:rsidRPr="00DC1A85">
        <w:t>. Internal Audit conducted an audit into benefits realisation in March 2018 and found satisfactory assurance in the processes.</w:t>
      </w:r>
      <w:r>
        <w:t xml:space="preserve"> This audit is on the plan again for July 2021.</w:t>
      </w:r>
      <w:r w:rsidRPr="000902C1">
        <w:t xml:space="preserve"> </w:t>
      </w:r>
    </w:p>
    <w:p w14:paraId="1C7D702C" w14:textId="77777777" w:rsidR="00A44EA5" w:rsidRPr="00DC1A85" w:rsidRDefault="00A44EA5" w:rsidP="006C1EEF">
      <w:pPr>
        <w:numPr>
          <w:ilvl w:val="2"/>
          <w:numId w:val="39"/>
        </w:numPr>
        <w:spacing w:before="0" w:after="200" w:line="276" w:lineRule="auto"/>
        <w:rPr>
          <w:b/>
          <w:i/>
        </w:rPr>
      </w:pPr>
      <w:r w:rsidRPr="000902C1">
        <w:rPr>
          <w:b/>
          <w:i/>
        </w:rPr>
        <w:t xml:space="preserve">Risk of failure to deliver and demonstrate Value for Money in regional </w:t>
      </w:r>
      <w:r w:rsidRPr="00DC1A85">
        <w:rPr>
          <w:b/>
          <w:i/>
        </w:rPr>
        <w:t>collaboration.</w:t>
      </w:r>
    </w:p>
    <w:p w14:paraId="13450547" w14:textId="12280E69" w:rsidR="00A44EA5" w:rsidRPr="00754431" w:rsidRDefault="00A44EA5" w:rsidP="006C1EEF">
      <w:pPr>
        <w:numPr>
          <w:ilvl w:val="3"/>
          <w:numId w:val="36"/>
        </w:numPr>
        <w:spacing w:before="0" w:after="200" w:line="276" w:lineRule="auto"/>
        <w:rPr>
          <w:b/>
        </w:rPr>
      </w:pPr>
      <w:r w:rsidRPr="007402EF">
        <w:t xml:space="preserve">The Commissioner and Chief Constable collaborate with the East Midlands region in many operational and </w:t>
      </w:r>
      <w:proofErr w:type="gramStart"/>
      <w:r w:rsidRPr="007402EF">
        <w:t>back office</w:t>
      </w:r>
      <w:proofErr w:type="gramEnd"/>
      <w:r w:rsidRPr="007402EF">
        <w:t xml:space="preserve"> areas.   During 2019/20, Internal Audit undertook the following thematic audits across all the regional collaborations: Performance Management, Business Continuity and Health and Safety. The final report</w:t>
      </w:r>
      <w:r w:rsidR="003F3AD7">
        <w:t>s</w:t>
      </w:r>
      <w:r w:rsidRPr="007402EF">
        <w:t xml:space="preserve"> </w:t>
      </w:r>
      <w:r w:rsidR="003F3AD7" w:rsidRPr="003F3AD7">
        <w:t xml:space="preserve">for Performance Management and Health and Safety had ‘satisfactory’ assurance </w:t>
      </w:r>
      <w:proofErr w:type="gramStart"/>
      <w:r w:rsidR="003F3AD7" w:rsidRPr="003F3AD7">
        <w:t>opinions .</w:t>
      </w:r>
      <w:proofErr w:type="gramEnd"/>
      <w:r w:rsidR="003F3AD7" w:rsidRPr="003F3AD7">
        <w:t xml:space="preserve"> The Business Continuity report had limited assurance 1 of the 4 areas it </w:t>
      </w:r>
      <w:r w:rsidR="003F3AD7" w:rsidRPr="003F3AD7">
        <w:lastRenderedPageBreak/>
        <w:t>considered, the actions from this have been completed and a further audit of the area commissioned in 2021/22.</w:t>
      </w:r>
    </w:p>
    <w:p w14:paraId="59E83E99" w14:textId="77777777" w:rsidR="00A44EA5" w:rsidRPr="00754431" w:rsidRDefault="00A44EA5" w:rsidP="006C1EEF">
      <w:pPr>
        <w:numPr>
          <w:ilvl w:val="2"/>
          <w:numId w:val="39"/>
        </w:numPr>
        <w:spacing w:before="0" w:after="200" w:line="276" w:lineRule="auto"/>
        <w:rPr>
          <w:b/>
          <w:i/>
        </w:rPr>
      </w:pPr>
      <w:r w:rsidRPr="00754431">
        <w:rPr>
          <w:b/>
          <w:i/>
        </w:rPr>
        <w:t xml:space="preserve">Risk of failure to deliver objectives of tri-service "Blue Light Programme". </w:t>
      </w:r>
    </w:p>
    <w:p w14:paraId="3DB64A33" w14:textId="77777777" w:rsidR="00A44EA5" w:rsidRPr="00DC1A85" w:rsidRDefault="00A44EA5" w:rsidP="006C1EEF">
      <w:pPr>
        <w:numPr>
          <w:ilvl w:val="3"/>
          <w:numId w:val="36"/>
        </w:numPr>
        <w:spacing w:before="0" w:after="200" w:line="276" w:lineRule="auto"/>
      </w:pPr>
      <w:r w:rsidRPr="00DC1A85">
        <w:t>This is an ambitious programme of work between Lincolnshire Police (LP), Lincolnshire County Council (LCC) Lincolnshire Fire &amp; Rescue (LFR) and the East Midlands Ambulance Service (EMAS). The purpose of the programme is the integration of blue light services and closer working to deliver efficiencies. It includes a broad ranging estates review and a project team, looking at interoperability and opportunities for integration.</w:t>
      </w:r>
    </w:p>
    <w:p w14:paraId="15495F78" w14:textId="77777777" w:rsidR="00A44EA5" w:rsidRPr="00DC1A85" w:rsidRDefault="00A44EA5" w:rsidP="006C1EEF">
      <w:pPr>
        <w:numPr>
          <w:ilvl w:val="3"/>
          <w:numId w:val="36"/>
        </w:numPr>
        <w:spacing w:before="0" w:after="200" w:line="276" w:lineRule="auto"/>
      </w:pPr>
      <w:r w:rsidRPr="00DC1A85">
        <w:t>The capital element of the programme includes the shared headquarters project whereby LFR and LP will share the current Police HQ in Nettleham and a shared control room, and the Blue Light Campus, a tri-service integrated operational station of circa 400 frontline personnel. The shared HQ works were completed in November 2017. The Blue Light Campus was completed in summer 2019 and Lincolnshire Police moved into the new premises in September 2019.</w:t>
      </w:r>
    </w:p>
    <w:p w14:paraId="3AE0495F" w14:textId="77777777" w:rsidR="00A44EA5" w:rsidRPr="00DC1A85" w:rsidRDefault="00A44EA5" w:rsidP="006C1EEF">
      <w:pPr>
        <w:numPr>
          <w:ilvl w:val="3"/>
          <w:numId w:val="36"/>
        </w:numPr>
        <w:spacing w:before="0" w:after="200" w:line="276" w:lineRule="auto"/>
      </w:pPr>
      <w:r w:rsidRPr="00DC1A85">
        <w:t xml:space="preserve">The programme has attracted over £7.5 m of Police Innovation funding and financial commitment from LCC and EMAS. The programme is expected to deliver significant benefits to Lincolnshire Police and its partners and to the public of Lincolnshire.  </w:t>
      </w:r>
    </w:p>
    <w:p w14:paraId="496BA5FE" w14:textId="77777777" w:rsidR="00A44EA5" w:rsidRPr="00DC1A85" w:rsidRDefault="00A44EA5" w:rsidP="006C1EEF">
      <w:pPr>
        <w:numPr>
          <w:ilvl w:val="3"/>
          <w:numId w:val="36"/>
        </w:numPr>
        <w:spacing w:before="0" w:after="200" w:line="276" w:lineRule="auto"/>
      </w:pPr>
      <w:r w:rsidRPr="00DC1A85">
        <w:t xml:space="preserve">The governance and project management of this programme of work is a major </w:t>
      </w:r>
      <w:proofErr w:type="gramStart"/>
      <w:r w:rsidRPr="00DC1A85">
        <w:t>undertaking in its own right</w:t>
      </w:r>
      <w:proofErr w:type="gramEnd"/>
      <w:r w:rsidRPr="00DC1A85">
        <w:t>. The programme involved both capital investment and revenue funding by the PCC to deliver the programme. The project risk was previously assessed as red in the PCC’s Risk Register due to increase in costs. As the project drew closer to completion, many of the issues had been resolved and the risk score was reduced to amber, reflecting the reduced risk on the remainder of the project. The post implementation review will reflect on how well the original objectives have been achieved and report on the benefits realised.</w:t>
      </w:r>
    </w:p>
    <w:p w14:paraId="41CBCB01" w14:textId="77777777" w:rsidR="00A44EA5" w:rsidRPr="000902C1" w:rsidRDefault="00A44EA5" w:rsidP="006C1EEF">
      <w:pPr>
        <w:numPr>
          <w:ilvl w:val="2"/>
          <w:numId w:val="36"/>
        </w:numPr>
        <w:spacing w:before="0" w:after="200" w:line="276" w:lineRule="auto"/>
        <w:ind w:left="709" w:hanging="709"/>
        <w:rPr>
          <w:b/>
        </w:rPr>
      </w:pPr>
      <w:r w:rsidRPr="000902C1">
        <w:rPr>
          <w:b/>
        </w:rPr>
        <w:t>Risk of failing to plan for the effective transition from the current commercial contract arrangements (G4S)</w:t>
      </w:r>
    </w:p>
    <w:p w14:paraId="4237B503" w14:textId="77777777" w:rsidR="00A44EA5" w:rsidRPr="000902C1" w:rsidRDefault="00A44EA5" w:rsidP="006C1EEF">
      <w:pPr>
        <w:numPr>
          <w:ilvl w:val="3"/>
          <w:numId w:val="36"/>
        </w:numPr>
        <w:spacing w:before="0" w:after="200" w:line="276" w:lineRule="auto"/>
      </w:pPr>
      <w:r w:rsidRPr="000902C1">
        <w:t xml:space="preserve">The strategic partnership contract reached year </w:t>
      </w:r>
      <w:r>
        <w:t>9</w:t>
      </w:r>
      <w:r w:rsidRPr="000902C1">
        <w:t xml:space="preserve"> of 10 in April 20</w:t>
      </w:r>
      <w:r>
        <w:t>20</w:t>
      </w:r>
      <w:r w:rsidRPr="000902C1">
        <w:t xml:space="preserve">. There is provision in the original agreement to negotiate an extension of the current arrangements for up to a further 5 years. The Force </w:t>
      </w:r>
      <w:r>
        <w:t xml:space="preserve">undertook to </w:t>
      </w:r>
      <w:proofErr w:type="gramStart"/>
      <w:r w:rsidRPr="000902C1">
        <w:t>negotiat</w:t>
      </w:r>
      <w:r>
        <w:t xml:space="preserve">e </w:t>
      </w:r>
      <w:r w:rsidRPr="000902C1">
        <w:t xml:space="preserve"> an</w:t>
      </w:r>
      <w:proofErr w:type="gramEnd"/>
      <w:r w:rsidRPr="000902C1">
        <w:t xml:space="preserve"> extension which </w:t>
      </w:r>
      <w:r>
        <w:t xml:space="preserve">would </w:t>
      </w:r>
      <w:r w:rsidRPr="000902C1">
        <w:t xml:space="preserve"> meet the Chief Constable’s requirements and deliver additional savings towards balancing the budget. </w:t>
      </w:r>
      <w:proofErr w:type="gramStart"/>
      <w:r>
        <w:t>This  project</w:t>
      </w:r>
      <w:proofErr w:type="gramEnd"/>
      <w:r>
        <w:t xml:space="preserve"> concluded in November 2020 with the decision not to extend the contract for a further 5 years and so the contract will end on 31</w:t>
      </w:r>
      <w:r w:rsidRPr="005C15F2">
        <w:rPr>
          <w:vertAlign w:val="superscript"/>
        </w:rPr>
        <w:t>st</w:t>
      </w:r>
      <w:r>
        <w:t xml:space="preserve"> March 2022. A new project was then commissioned to explore options and determine the future service delivery model for each of the service areas currently contained within the strategic partnership contract.     </w:t>
      </w:r>
      <w:r w:rsidRPr="000902C1">
        <w:t xml:space="preserve">    </w:t>
      </w:r>
    </w:p>
    <w:p w14:paraId="6E281126" w14:textId="77777777" w:rsidR="00A44EA5" w:rsidRPr="000902C1" w:rsidRDefault="00A44EA5" w:rsidP="006C1EEF">
      <w:pPr>
        <w:numPr>
          <w:ilvl w:val="0"/>
          <w:numId w:val="36"/>
        </w:numPr>
        <w:spacing w:before="0" w:after="200" w:line="276" w:lineRule="auto"/>
        <w:rPr>
          <w:b/>
        </w:rPr>
      </w:pPr>
      <w:r w:rsidRPr="000902C1">
        <w:rPr>
          <w:b/>
        </w:rPr>
        <w:t>Information Risk</w:t>
      </w:r>
    </w:p>
    <w:p w14:paraId="1226CF93" w14:textId="77777777" w:rsidR="00A44EA5" w:rsidRPr="000902C1" w:rsidRDefault="00A44EA5" w:rsidP="006C1EEF">
      <w:pPr>
        <w:ind w:left="0"/>
      </w:pPr>
      <w:r w:rsidRPr="00377B24">
        <w:t xml:space="preserve">8.1 </w:t>
      </w:r>
      <w:r w:rsidRPr="00377B24">
        <w:tab/>
        <w:t xml:space="preserve">The Force Information Risk Appetite remains set as </w:t>
      </w:r>
      <w:proofErr w:type="gramStart"/>
      <w:r w:rsidRPr="00377B24">
        <w:t>OPEN;</w:t>
      </w:r>
      <w:proofErr w:type="gramEnd"/>
    </w:p>
    <w:p w14:paraId="75F5FC1D" w14:textId="77777777" w:rsidR="00A44EA5" w:rsidRPr="000902C1" w:rsidRDefault="00A44EA5" w:rsidP="006C1EEF">
      <w:pPr>
        <w:ind w:left="720"/>
        <w:rPr>
          <w:i/>
        </w:rPr>
      </w:pPr>
      <w:r w:rsidRPr="000902C1">
        <w:rPr>
          <w:i/>
        </w:rPr>
        <w:lastRenderedPageBreak/>
        <w:t>Willing to consider all options and choose the one that is most likely to result in successful delivery minimising residual risk as far as possible, while also providing an acceptable level of business benefit.</w:t>
      </w:r>
    </w:p>
    <w:p w14:paraId="78D5C9D6" w14:textId="77777777" w:rsidR="00A44EA5" w:rsidRPr="00377B24" w:rsidRDefault="00A44EA5" w:rsidP="006C1EEF">
      <w:pPr>
        <w:numPr>
          <w:ilvl w:val="1"/>
          <w:numId w:val="40"/>
        </w:numPr>
        <w:spacing w:before="0" w:after="200" w:line="276" w:lineRule="auto"/>
      </w:pPr>
      <w:r w:rsidRPr="00377B24">
        <w:t>During 2019/20 the Force has progressed its work on information security.  There is a 3-year Accreditation Programme in place for IT systems, of which several systems have been accredited during this period.</w:t>
      </w:r>
    </w:p>
    <w:p w14:paraId="3CAD06C3" w14:textId="77777777" w:rsidR="00A44EA5" w:rsidRPr="00377B24" w:rsidRDefault="00A44EA5" w:rsidP="006C1EEF">
      <w:pPr>
        <w:numPr>
          <w:ilvl w:val="1"/>
          <w:numId w:val="40"/>
        </w:numPr>
        <w:spacing w:before="0" w:after="200" w:line="276" w:lineRule="auto"/>
      </w:pPr>
      <w:r w:rsidRPr="00377B24">
        <w:t xml:space="preserve">All officers and staff have completed an online Data Protection training course. </w:t>
      </w:r>
    </w:p>
    <w:p w14:paraId="54E92F98" w14:textId="77777777" w:rsidR="00A44EA5" w:rsidRPr="000902C1" w:rsidRDefault="00A44EA5" w:rsidP="006C1EEF">
      <w:pPr>
        <w:numPr>
          <w:ilvl w:val="1"/>
          <w:numId w:val="41"/>
        </w:numPr>
        <w:spacing w:before="0" w:after="200" w:line="276" w:lineRule="auto"/>
      </w:pPr>
      <w:r w:rsidRPr="000902C1">
        <w:t xml:space="preserve">Information strategy and policy is approved and deployed by the Information Management Board, who also oversee information and data quality issues, including </w:t>
      </w:r>
      <w:r w:rsidRPr="00377B24">
        <w:t>information risk. The Board is chaired by the Senior Information Risk Owner (SIRO) ACO Resources</w:t>
      </w:r>
      <w:r w:rsidRPr="000902C1">
        <w:t xml:space="preserve"> and any information risks that are outside of the Force risk appetite are escalated to Chief Officer Group as necessary.</w:t>
      </w:r>
    </w:p>
    <w:p w14:paraId="10D3C25F" w14:textId="77777777" w:rsidR="00A44EA5" w:rsidRPr="000902C1" w:rsidRDefault="00A44EA5" w:rsidP="006C1EEF">
      <w:pPr>
        <w:numPr>
          <w:ilvl w:val="1"/>
          <w:numId w:val="41"/>
        </w:numPr>
        <w:spacing w:before="0" w:after="200" w:line="276" w:lineRule="auto"/>
      </w:pPr>
      <w:r w:rsidRPr="000902C1">
        <w:t xml:space="preserve">Information Asset Owners are aware of their responsibilities </w:t>
      </w:r>
      <w:proofErr w:type="gramStart"/>
      <w:r w:rsidRPr="000902C1">
        <w:t>with regard to</w:t>
      </w:r>
      <w:proofErr w:type="gramEnd"/>
      <w:r w:rsidRPr="000902C1">
        <w:t xml:space="preserve"> risk within their area of responsibility, with a clear escalation path through the Force Information Management Board and Risk Management Board to the SIRO. Additionally, the Information Management Board discusses information risk as an agenda item. All Information Asset Owners have completed detailed risk assessments on </w:t>
      </w:r>
      <w:proofErr w:type="gramStart"/>
      <w:r w:rsidRPr="000902C1">
        <w:t>all of</w:t>
      </w:r>
      <w:proofErr w:type="gramEnd"/>
      <w:r w:rsidRPr="000902C1">
        <w:t xml:space="preserve"> their systems. They have also undertaken Information Asset Owner specific online information assurance training.</w:t>
      </w:r>
    </w:p>
    <w:p w14:paraId="26D47C6C" w14:textId="77777777" w:rsidR="00A44EA5" w:rsidRPr="000902C1" w:rsidRDefault="00A44EA5" w:rsidP="006C1EEF">
      <w:pPr>
        <w:numPr>
          <w:ilvl w:val="1"/>
          <w:numId w:val="41"/>
        </w:numPr>
        <w:spacing w:before="0" w:after="200" w:line="276" w:lineRule="auto"/>
      </w:pPr>
      <w:r w:rsidRPr="000902C1">
        <w:t xml:space="preserve">Regular (bi-weekly) meetings between the Information Assurance and IT staff continue to ensure that risks identified through IT Health Checks or system accreditation are mitigated in an appropriate timeframe. </w:t>
      </w:r>
    </w:p>
    <w:p w14:paraId="40B600C5" w14:textId="77777777" w:rsidR="00A44EA5" w:rsidRPr="000902C1" w:rsidRDefault="00A44EA5" w:rsidP="006C1EEF">
      <w:pPr>
        <w:numPr>
          <w:ilvl w:val="0"/>
          <w:numId w:val="36"/>
        </w:numPr>
        <w:spacing w:before="0" w:after="200" w:line="276" w:lineRule="auto"/>
        <w:rPr>
          <w:b/>
        </w:rPr>
      </w:pPr>
      <w:proofErr w:type="gramStart"/>
      <w:r w:rsidRPr="000902C1">
        <w:rPr>
          <w:b/>
        </w:rPr>
        <w:t>Future Plans</w:t>
      </w:r>
      <w:proofErr w:type="gramEnd"/>
    </w:p>
    <w:p w14:paraId="21484EA0" w14:textId="77777777" w:rsidR="00A44EA5" w:rsidRPr="000902C1" w:rsidRDefault="00A44EA5" w:rsidP="006C1EEF">
      <w:pPr>
        <w:numPr>
          <w:ilvl w:val="1"/>
          <w:numId w:val="42"/>
        </w:numPr>
        <w:spacing w:before="0" w:after="200" w:line="276" w:lineRule="auto"/>
      </w:pPr>
      <w:r w:rsidRPr="000902C1">
        <w:t>Over the coming year, where necessary, we will continue our plans to address the above matters and to further enhance our governance arrangements. These steps will address the need for improvements that were identified in the review of effectiveness and their implementation will be monitored as part of our next annual review.</w:t>
      </w:r>
    </w:p>
    <w:p w14:paraId="1F129606" w14:textId="77777777" w:rsidR="00A44EA5" w:rsidRDefault="00A44EA5" w:rsidP="006C1EEF">
      <w:pPr>
        <w:ind w:left="0"/>
      </w:pPr>
    </w:p>
    <w:p w14:paraId="5A4F8F52" w14:textId="77777777" w:rsidR="00622938" w:rsidRPr="000902C1" w:rsidRDefault="00622938" w:rsidP="006C1EEF">
      <w:pPr>
        <w:ind w:left="0"/>
      </w:pPr>
    </w:p>
    <w:p w14:paraId="4484F879" w14:textId="77777777" w:rsidR="00297CE4" w:rsidRDefault="00297CE4" w:rsidP="006C1EEF">
      <w:pPr>
        <w:ind w:left="0"/>
        <w:rPr>
          <w:rFonts w:eastAsia="Times New Roman" w:cs="Times New Roman"/>
          <w:noProof/>
          <w:szCs w:val="24"/>
          <w:lang w:eastAsia="en-GB"/>
        </w:rPr>
      </w:pPr>
    </w:p>
    <w:p w14:paraId="7F1377D1" w14:textId="63F837E3" w:rsidR="00A44EA5" w:rsidRPr="000902C1" w:rsidRDefault="00A44EA5" w:rsidP="006C1EEF">
      <w:pPr>
        <w:ind w:left="0"/>
      </w:pPr>
      <w:r w:rsidRPr="000902C1">
        <w:t xml:space="preserve">_________________________________  </w:t>
      </w:r>
    </w:p>
    <w:p w14:paraId="28E88723" w14:textId="77777777" w:rsidR="00A44EA5" w:rsidRPr="000902C1" w:rsidRDefault="00A44EA5" w:rsidP="006C1EEF">
      <w:pPr>
        <w:spacing w:before="120" w:after="120"/>
        <w:ind w:left="0"/>
      </w:pPr>
      <w:r>
        <w:t>Chris Haward</w:t>
      </w:r>
      <w:r w:rsidRPr="000902C1">
        <w:t xml:space="preserve"> </w:t>
      </w:r>
      <w:r w:rsidRPr="000902C1">
        <w:tab/>
      </w:r>
      <w:r w:rsidRPr="000902C1">
        <w:tab/>
      </w:r>
      <w:r w:rsidRPr="000902C1">
        <w:tab/>
      </w:r>
      <w:r w:rsidRPr="000902C1">
        <w:tab/>
      </w:r>
    </w:p>
    <w:p w14:paraId="7B950714" w14:textId="25BD91C3" w:rsidR="00A44EA5" w:rsidRPr="000902C1" w:rsidRDefault="00D47ED4" w:rsidP="006C1EEF">
      <w:pPr>
        <w:spacing w:before="120" w:after="120"/>
        <w:ind w:left="0"/>
      </w:pPr>
      <w:r>
        <w:t>Chief Constable of</w:t>
      </w:r>
      <w:r w:rsidR="00A44EA5" w:rsidRPr="000902C1">
        <w:t xml:space="preserve"> Lincolnshire</w:t>
      </w:r>
    </w:p>
    <w:p w14:paraId="1F3D8167" w14:textId="73D29A1F" w:rsidR="00A44EA5" w:rsidRDefault="00A44EA5" w:rsidP="002531AA">
      <w:pPr>
        <w:ind w:left="0"/>
      </w:pPr>
      <w:r w:rsidRPr="000902C1">
        <w:t>Date</w:t>
      </w:r>
      <w:r w:rsidR="002531AA">
        <w:t xml:space="preserve"> </w:t>
      </w:r>
      <w:r w:rsidR="003620BD">
        <w:t>6 October 2023</w:t>
      </w:r>
    </w:p>
    <w:p w14:paraId="16BCCCD7" w14:textId="77777777" w:rsidR="00A44EA5" w:rsidRDefault="00A44EA5" w:rsidP="006C1EEF">
      <w:pPr>
        <w:spacing w:before="0" w:after="200" w:line="276" w:lineRule="auto"/>
        <w:ind w:left="0"/>
        <w:rPr>
          <w:rFonts w:eastAsia="Times New Roman" w:cs="Times New Roman"/>
          <w:b/>
          <w:bCs/>
          <w:snapToGrid w:val="0"/>
          <w:color w:val="000000"/>
          <w:sz w:val="28"/>
          <w:szCs w:val="28"/>
          <w:lang w:eastAsia="en-GB"/>
        </w:rPr>
      </w:pPr>
      <w:r>
        <w:rPr>
          <w:rFonts w:eastAsia="Times New Roman" w:cs="Times New Roman"/>
          <w:b/>
          <w:bCs/>
          <w:snapToGrid w:val="0"/>
          <w:color w:val="000000"/>
          <w:sz w:val="28"/>
          <w:szCs w:val="28"/>
          <w:lang w:eastAsia="en-GB"/>
        </w:rPr>
        <w:br w:type="page"/>
      </w:r>
    </w:p>
    <w:p w14:paraId="2EBD19A7" w14:textId="25FDDABA" w:rsidR="00B41FAC" w:rsidRPr="00B41FAC" w:rsidRDefault="00B41FAC" w:rsidP="00B41FAC">
      <w:pPr>
        <w:keepNext/>
        <w:tabs>
          <w:tab w:val="left" w:pos="0"/>
          <w:tab w:val="left" w:pos="284"/>
        </w:tabs>
        <w:ind w:left="0"/>
        <w:jc w:val="left"/>
        <w:outlineLvl w:val="0"/>
        <w:rPr>
          <w:rFonts w:eastAsia="Times New Roman" w:cs="Times New Roman"/>
          <w:b/>
          <w:bCs/>
          <w:snapToGrid w:val="0"/>
          <w:color w:val="000000"/>
          <w:sz w:val="28"/>
          <w:szCs w:val="28"/>
          <w:lang w:eastAsia="en-GB"/>
        </w:rPr>
      </w:pPr>
      <w:bookmarkStart w:id="34" w:name="_Toc144279256"/>
      <w:r w:rsidRPr="00B41FAC">
        <w:rPr>
          <w:rFonts w:eastAsia="Times New Roman" w:cs="Times New Roman"/>
          <w:b/>
          <w:bCs/>
          <w:snapToGrid w:val="0"/>
          <w:color w:val="000000"/>
          <w:sz w:val="28"/>
          <w:szCs w:val="28"/>
          <w:lang w:eastAsia="en-GB"/>
        </w:rPr>
        <w:lastRenderedPageBreak/>
        <w:t>Chief Finance Officer’s Narrative Report</w:t>
      </w:r>
      <w:bookmarkEnd w:id="26"/>
      <w:bookmarkEnd w:id="27"/>
      <w:bookmarkEnd w:id="34"/>
    </w:p>
    <w:p w14:paraId="278DDD75" w14:textId="77777777" w:rsidR="00B41FAC" w:rsidRPr="00B41FAC" w:rsidRDefault="00B41FAC" w:rsidP="00B41FAC">
      <w:pPr>
        <w:ind w:left="0"/>
        <w:rPr>
          <w:rFonts w:eastAsia="Times New Roman" w:cs="Times New Roman"/>
          <w:szCs w:val="24"/>
          <w:lang w:eastAsia="en-GB"/>
        </w:rPr>
      </w:pPr>
      <w:r w:rsidRPr="00B41FAC">
        <w:rPr>
          <w:rFonts w:eastAsia="Times New Roman" w:cs="Times New Roman"/>
          <w:lang w:eastAsia="en-GB"/>
        </w:rPr>
        <w:t>The Narrative Report to the financial statements provides a guide to the most significant matters reported in the accounts and includes key performance information, a comparison of outturn figures to the budget and highlights significant areas of expenditure and major changes.</w:t>
      </w:r>
    </w:p>
    <w:p w14:paraId="0875976A" w14:textId="77777777" w:rsidR="00B41FAC" w:rsidRPr="00B41FAC" w:rsidRDefault="00B41FAC" w:rsidP="00B41FAC">
      <w:pPr>
        <w:keepNext/>
        <w:tabs>
          <w:tab w:val="left" w:pos="284"/>
          <w:tab w:val="left" w:pos="851"/>
        </w:tabs>
        <w:spacing w:before="0" w:after="0"/>
        <w:ind w:left="0"/>
        <w:jc w:val="left"/>
        <w:outlineLvl w:val="8"/>
        <w:rPr>
          <w:rFonts w:eastAsia="MS Mincho" w:cs="Arial"/>
          <w:b/>
          <w:color w:val="000000"/>
        </w:rPr>
      </w:pPr>
      <w:r w:rsidRPr="00B41FAC">
        <w:rPr>
          <w:rFonts w:eastAsia="MS Mincho" w:cs="Arial"/>
          <w:b/>
          <w:color w:val="000000"/>
        </w:rPr>
        <w:t>Introduction</w:t>
      </w:r>
    </w:p>
    <w:p w14:paraId="223E830B" w14:textId="748DA17B"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 xml:space="preserve">I am pleased to present the Statement of Accounts for the Chief Constable of Lincolnshire for the financial year 2020/21. This Statement of Accounts sets out the overall financial position of the </w:t>
      </w:r>
      <w:r w:rsidR="00D47ED4">
        <w:rPr>
          <w:rFonts w:eastAsia="Times New Roman" w:cs="Times New Roman"/>
          <w:szCs w:val="24"/>
          <w:lang w:eastAsia="en-GB"/>
        </w:rPr>
        <w:t>Chief Constable of</w:t>
      </w:r>
      <w:r w:rsidRPr="00B41FAC">
        <w:rPr>
          <w:rFonts w:eastAsia="Times New Roman" w:cs="Times New Roman"/>
          <w:szCs w:val="24"/>
          <w:lang w:eastAsia="en-GB"/>
        </w:rPr>
        <w:t xml:space="preserve"> Lincolnshire for the year ended 31 March 2021. </w:t>
      </w:r>
    </w:p>
    <w:p w14:paraId="5336060D" w14:textId="77777777"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 xml:space="preserve">The Chief Constable of Lincolnshire is responsible for providing operational policing services to a population </w:t>
      </w:r>
      <w:proofErr w:type="gramStart"/>
      <w:r w:rsidRPr="00B41FAC">
        <w:rPr>
          <w:rFonts w:eastAsia="Times New Roman" w:cs="Times New Roman"/>
          <w:szCs w:val="24"/>
          <w:lang w:eastAsia="en-GB"/>
        </w:rPr>
        <w:t>in excess of</w:t>
      </w:r>
      <w:proofErr w:type="gramEnd"/>
      <w:r w:rsidRPr="00B41FAC">
        <w:rPr>
          <w:rFonts w:eastAsia="Times New Roman" w:cs="Times New Roman"/>
          <w:szCs w:val="24"/>
          <w:lang w:eastAsia="en-GB"/>
        </w:rPr>
        <w:t xml:space="preserve"> 710,000 dispersed across a large geographical area of 590,000 hectares. </w:t>
      </w:r>
    </w:p>
    <w:p w14:paraId="5A92FE62" w14:textId="7878DBFF"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 xml:space="preserve">The Police and Crime Commissioner (PCC) for Lincolnshire determines the level of funding allocated to the </w:t>
      </w:r>
      <w:r w:rsidR="00D47ED4">
        <w:rPr>
          <w:rFonts w:eastAsia="Times New Roman" w:cs="Times New Roman"/>
          <w:szCs w:val="24"/>
          <w:lang w:eastAsia="en-GB"/>
        </w:rPr>
        <w:t>Chief Constable of</w:t>
      </w:r>
      <w:r w:rsidRPr="00B41FAC">
        <w:rPr>
          <w:rFonts w:eastAsia="Times New Roman" w:cs="Times New Roman"/>
          <w:szCs w:val="24"/>
          <w:lang w:eastAsia="en-GB"/>
        </w:rPr>
        <w:t xml:space="preserve"> the provision of policing services within Lincolnshire. </w:t>
      </w:r>
    </w:p>
    <w:p w14:paraId="5435D163" w14:textId="77777777" w:rsidR="00B41FAC" w:rsidRPr="00B41FAC" w:rsidRDefault="00B41FAC" w:rsidP="00B41FAC">
      <w:pPr>
        <w:ind w:left="0"/>
        <w:rPr>
          <w:rFonts w:eastAsia="Times New Roman" w:cs="Times New Roman"/>
          <w:szCs w:val="24"/>
          <w:lang w:eastAsia="en-GB"/>
        </w:rPr>
      </w:pPr>
      <w:bookmarkStart w:id="35" w:name="_Hlk71723156"/>
      <w:r w:rsidRPr="00B41FAC">
        <w:rPr>
          <w:rFonts w:eastAsia="Times New Roman" w:cs="Times New Roman"/>
          <w:szCs w:val="24"/>
          <w:lang w:eastAsia="en-GB"/>
        </w:rPr>
        <w:t xml:space="preserve">The police grant for 2020/21 in Lincolnshire increased by £4.4m (7.5%).  There was also the allocation of pension top-up grant of £1.20m was provided by government to meet the increased costs of employer pension contributions.  In addition, there was potential for Lincolnshire to claim up to a further £1.4m of Police Uplift grant funding dependent upon delivering on its recruitment target for 2020/21 and the funding being spent on Home Office specified costs.  At the time of setting the budget the </w:t>
      </w:r>
      <w:proofErr w:type="gramStart"/>
      <w:r w:rsidRPr="00B41FAC">
        <w:rPr>
          <w:rFonts w:eastAsia="Times New Roman" w:cs="Times New Roman"/>
          <w:szCs w:val="24"/>
          <w:lang w:eastAsia="en-GB"/>
        </w:rPr>
        <w:t>Home</w:t>
      </w:r>
      <w:proofErr w:type="gramEnd"/>
      <w:r w:rsidRPr="00B41FAC">
        <w:rPr>
          <w:rFonts w:eastAsia="Times New Roman" w:cs="Times New Roman"/>
          <w:szCs w:val="24"/>
          <w:lang w:eastAsia="en-GB"/>
        </w:rPr>
        <w:t xml:space="preserve"> Office conditions on the grant were yet to be specified therefore funding and potential costs were not included in the original budget.  </w:t>
      </w:r>
    </w:p>
    <w:p w14:paraId="2FAEB05D" w14:textId="77777777"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 xml:space="preserve">The grant announcement also relaxed the precept referendum limit to allow an increase up to an additional £10 per annum for a Band D property (or appropriate proportion for other property bands).  This announcement equates to an increase of £3.3m in available council tax. </w:t>
      </w:r>
    </w:p>
    <w:bookmarkEnd w:id="35"/>
    <w:p w14:paraId="5BB09AC1" w14:textId="77777777"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 xml:space="preserve">The review of the methodology by which government grant is distributed between Forces (the funding formula review) has been further delayed and whilst the Government have committed to addressing the funding formula as part of the next Spending Review in 21/22, further slippage is possible.  Consequently, the police service continues to face uncertainty regarding future funding levels. </w:t>
      </w:r>
    </w:p>
    <w:p w14:paraId="212DB615" w14:textId="77777777" w:rsidR="00B41FAC" w:rsidRPr="00B41FAC" w:rsidRDefault="00B41FAC" w:rsidP="00B41FAC">
      <w:pPr>
        <w:tabs>
          <w:tab w:val="left" w:pos="284"/>
        </w:tabs>
        <w:ind w:left="0"/>
        <w:rPr>
          <w:rFonts w:eastAsia="Times New Roman" w:cs="Times New Roman"/>
          <w:szCs w:val="24"/>
          <w:lang w:eastAsia="en-GB"/>
        </w:rPr>
      </w:pPr>
      <w:r w:rsidRPr="00B41FAC">
        <w:rPr>
          <w:rFonts w:eastAsia="Times New Roman" w:cs="Times New Roman"/>
          <w:szCs w:val="24"/>
          <w:lang w:eastAsia="en-GB"/>
        </w:rPr>
        <w:t>The COVID-19 pandemic has dominated the year and presented major challenges for both our county and country.  The continued funding uncertainty combined with the global recession underlines the need for robust plans with adequate levels of reserves.</w:t>
      </w:r>
    </w:p>
    <w:p w14:paraId="71AF008B" w14:textId="77777777" w:rsidR="00B41FAC" w:rsidRPr="00B41FAC" w:rsidRDefault="00B41FAC" w:rsidP="00B41FAC">
      <w:pPr>
        <w:keepNext/>
        <w:tabs>
          <w:tab w:val="left" w:pos="284"/>
          <w:tab w:val="left" w:pos="851"/>
        </w:tabs>
        <w:spacing w:before="0" w:after="0"/>
        <w:ind w:left="0"/>
        <w:jc w:val="left"/>
        <w:outlineLvl w:val="8"/>
        <w:rPr>
          <w:rFonts w:eastAsia="MS Mincho" w:cs="Arial"/>
          <w:b/>
        </w:rPr>
      </w:pPr>
      <w:r w:rsidRPr="00B41FAC">
        <w:rPr>
          <w:rFonts w:eastAsia="MS Mincho" w:cs="Arial"/>
          <w:b/>
        </w:rPr>
        <w:t>Governance</w:t>
      </w:r>
      <w:r w:rsidRPr="00B41FAC">
        <w:rPr>
          <w:rFonts w:eastAsia="MS Mincho" w:cs="Arial"/>
          <w:b/>
        </w:rPr>
        <w:tab/>
      </w:r>
    </w:p>
    <w:p w14:paraId="61B4C82F" w14:textId="77777777" w:rsidR="00B41FAC" w:rsidRPr="00B41FAC" w:rsidRDefault="00B41FAC" w:rsidP="00B41FAC">
      <w:pPr>
        <w:ind w:left="0"/>
        <w:rPr>
          <w:rFonts w:cs="Arial"/>
          <w:szCs w:val="24"/>
          <w:lang w:eastAsia="en-US"/>
        </w:rPr>
      </w:pPr>
      <w:r w:rsidRPr="00B41FAC">
        <w:rPr>
          <w:rFonts w:cs="Arial"/>
          <w:szCs w:val="24"/>
          <w:lang w:eastAsia="en-US"/>
        </w:rPr>
        <w:t xml:space="preserve">The Chief Constable is responsible for operational policing within Lincolnshire, with the PCC being responsible for the totality of policing. </w:t>
      </w:r>
    </w:p>
    <w:p w14:paraId="6F709E4B" w14:textId="77777777" w:rsidR="00B41FAC" w:rsidRPr="00B41FAC" w:rsidRDefault="00B41FAC" w:rsidP="00B41FAC">
      <w:pPr>
        <w:ind w:left="0"/>
        <w:rPr>
          <w:rFonts w:cs="Arial"/>
          <w:szCs w:val="24"/>
          <w:lang w:eastAsia="en-US"/>
        </w:rPr>
      </w:pPr>
      <w:r w:rsidRPr="00B41FAC">
        <w:rPr>
          <w:rFonts w:cs="Arial"/>
          <w:szCs w:val="24"/>
          <w:lang w:eastAsia="en-US"/>
        </w:rPr>
        <w:t xml:space="preserve">The Chief Constable holds joint responsibility with the PCC for ensuring that public money is safeguarded, properly accounted for and used economically, efficiently and effectively. To discharge this accountability, the PCC and Chief Constable must put in place procedures for the governance and stewardship of the resources at their disposal. </w:t>
      </w:r>
    </w:p>
    <w:p w14:paraId="4E75A0AD" w14:textId="77777777" w:rsidR="00B41FAC" w:rsidRPr="00B41FAC" w:rsidRDefault="00B41FAC" w:rsidP="00B41FAC">
      <w:pPr>
        <w:ind w:left="0"/>
        <w:rPr>
          <w:rFonts w:eastAsia="Times New Roman" w:cs="Arial"/>
          <w:color w:val="FF0000"/>
          <w:szCs w:val="24"/>
          <w:lang w:eastAsia="en-GB"/>
        </w:rPr>
      </w:pPr>
      <w:r w:rsidRPr="00B41FAC">
        <w:rPr>
          <w:rFonts w:cs="Arial"/>
          <w:color w:val="auto"/>
          <w:szCs w:val="24"/>
          <w:lang w:eastAsia="en-US"/>
        </w:rPr>
        <w:t>The annual review of Governance and Internal Control is included within the arrangements for producing the Annual Governance Statement, which forms part of these Financial Statements.</w:t>
      </w:r>
    </w:p>
    <w:p w14:paraId="11A1E963" w14:textId="77777777" w:rsidR="00B41FAC" w:rsidRPr="00B41FAC" w:rsidRDefault="00B41FAC" w:rsidP="00B41FAC">
      <w:pPr>
        <w:keepNext/>
        <w:tabs>
          <w:tab w:val="left" w:pos="284"/>
          <w:tab w:val="left" w:pos="851"/>
        </w:tabs>
        <w:spacing w:before="0" w:after="0"/>
        <w:ind w:left="0"/>
        <w:jc w:val="left"/>
        <w:outlineLvl w:val="8"/>
        <w:rPr>
          <w:rFonts w:eastAsia="MS Mincho" w:cs="Arial"/>
          <w:b/>
        </w:rPr>
      </w:pPr>
      <w:r w:rsidRPr="00B41FAC">
        <w:rPr>
          <w:rFonts w:eastAsia="MS Mincho" w:cs="Arial"/>
          <w:b/>
        </w:rPr>
        <w:lastRenderedPageBreak/>
        <w:t>Organisation</w:t>
      </w:r>
    </w:p>
    <w:p w14:paraId="0B833AF5" w14:textId="77777777" w:rsidR="00B41FAC" w:rsidRPr="00B41FAC" w:rsidRDefault="00B41FAC" w:rsidP="00B41FAC">
      <w:pPr>
        <w:ind w:left="0"/>
        <w:rPr>
          <w:rFonts w:cs="Arial"/>
          <w:szCs w:val="24"/>
          <w:lang w:eastAsia="en-US"/>
        </w:rPr>
      </w:pPr>
      <w:r w:rsidRPr="00B41FAC">
        <w:rPr>
          <w:rFonts w:cs="Arial"/>
          <w:szCs w:val="24"/>
          <w:lang w:eastAsia="en-US"/>
        </w:rPr>
        <w:t xml:space="preserve">The PCC receives all funding and income and makes all payments for the PCC Group. Under a detailed Scheme of Delegation an annual budget is provided, following consultation with the Chief Constable, for fulfilling the requirements for policing Lincolnshire in accordance with the Police and Crime Plan. The Chief Constable spends his delegated budget to provide the operational policing services in Lincolnshire. </w:t>
      </w:r>
    </w:p>
    <w:p w14:paraId="44798120" w14:textId="77777777" w:rsidR="00B41FAC" w:rsidRPr="00B41FAC" w:rsidRDefault="00B41FAC" w:rsidP="00B41FAC">
      <w:pPr>
        <w:ind w:left="0"/>
        <w:rPr>
          <w:rFonts w:cs="Arial"/>
          <w:szCs w:val="24"/>
          <w:lang w:eastAsia="en-US"/>
        </w:rPr>
      </w:pPr>
      <w:r w:rsidRPr="00B41FAC">
        <w:rPr>
          <w:rFonts w:cs="Arial"/>
          <w:szCs w:val="24"/>
          <w:lang w:eastAsia="en-US"/>
        </w:rPr>
        <w:t xml:space="preserve">All Police Officers, and </w:t>
      </w:r>
      <w:proofErr w:type="gramStart"/>
      <w:r w:rsidRPr="00B41FAC">
        <w:rPr>
          <w:rFonts w:cs="Arial"/>
          <w:szCs w:val="24"/>
          <w:lang w:eastAsia="en-US"/>
        </w:rPr>
        <w:t>the majority of</w:t>
      </w:r>
      <w:proofErr w:type="gramEnd"/>
      <w:r w:rsidRPr="00B41FAC">
        <w:rPr>
          <w:rFonts w:cs="Arial"/>
          <w:szCs w:val="24"/>
          <w:lang w:eastAsia="en-US"/>
        </w:rPr>
        <w:t xml:space="preserve"> police staff (other than a small number relating to the PCC’s Office, Victim Lincs staff, and regional support arrangements) are in the Chief Constable’s employment.</w:t>
      </w:r>
    </w:p>
    <w:p w14:paraId="045B8457" w14:textId="57559987" w:rsidR="00B41FAC" w:rsidRPr="00B41FAC" w:rsidRDefault="00B41FAC" w:rsidP="00B41FAC">
      <w:pPr>
        <w:ind w:left="0"/>
        <w:rPr>
          <w:rFonts w:cs="Arial"/>
          <w:color w:val="auto"/>
          <w:szCs w:val="24"/>
          <w:lang w:eastAsia="en-US"/>
        </w:rPr>
      </w:pPr>
      <w:r w:rsidRPr="00B41FAC">
        <w:rPr>
          <w:rFonts w:cs="Arial"/>
          <w:color w:val="auto"/>
          <w:szCs w:val="24"/>
          <w:lang w:eastAsia="en-US"/>
        </w:rPr>
        <w:t xml:space="preserve">These Financial Statements reflect the cost of providing operational policing, with the PCC’s accounts showing a commensurate transfer of resources to the Chief Constable. A separate set of accounts has been published for the PCC and the PCC Group, which consolidates the Chief Constable’s accounts </w:t>
      </w:r>
      <w:proofErr w:type="gramStart"/>
      <w:r w:rsidRPr="00B41FAC">
        <w:rPr>
          <w:rFonts w:cs="Arial"/>
          <w:color w:val="auto"/>
          <w:szCs w:val="24"/>
          <w:lang w:eastAsia="en-US"/>
        </w:rPr>
        <w:t>and also</w:t>
      </w:r>
      <w:proofErr w:type="gramEnd"/>
      <w:r w:rsidRPr="00B41FAC">
        <w:rPr>
          <w:rFonts w:cs="Arial"/>
          <w:color w:val="auto"/>
          <w:szCs w:val="24"/>
          <w:lang w:eastAsia="en-US"/>
        </w:rPr>
        <w:t xml:space="preserve"> recognises all of the transactions incurred during 20</w:t>
      </w:r>
      <w:r w:rsidR="005E5A43">
        <w:rPr>
          <w:rFonts w:cs="Arial"/>
          <w:color w:val="auto"/>
          <w:szCs w:val="24"/>
          <w:lang w:eastAsia="en-US"/>
        </w:rPr>
        <w:t xml:space="preserve">20/21 </w:t>
      </w:r>
      <w:r w:rsidRPr="00B41FAC">
        <w:rPr>
          <w:rFonts w:cs="Arial"/>
          <w:color w:val="auto"/>
          <w:szCs w:val="24"/>
          <w:lang w:eastAsia="en-US"/>
        </w:rPr>
        <w:t xml:space="preserve">for policing in Lincolnshire. </w:t>
      </w:r>
    </w:p>
    <w:p w14:paraId="45F0BDAB" w14:textId="77777777" w:rsidR="00B41FAC" w:rsidRPr="00B41FAC" w:rsidRDefault="00B41FAC" w:rsidP="00B41FAC">
      <w:pPr>
        <w:ind w:left="0"/>
        <w:rPr>
          <w:rFonts w:cs="Arial"/>
          <w:color w:val="auto"/>
          <w:szCs w:val="24"/>
          <w:lang w:eastAsia="en-US"/>
        </w:rPr>
      </w:pPr>
      <w:r w:rsidRPr="00B41FAC">
        <w:rPr>
          <w:rFonts w:cs="Arial"/>
          <w:color w:val="auto"/>
          <w:szCs w:val="24"/>
          <w:lang w:eastAsia="en-US"/>
        </w:rPr>
        <w:t xml:space="preserve">The Strategic Partnership contract is formally held by the PCC for the provision of a wide range of operational and support functions to the Chief Constable. This has been accounted for in full in the PCC’s accounts, reflecting the contractual, budgetary and management responsibility. However, </w:t>
      </w:r>
      <w:proofErr w:type="gramStart"/>
      <w:r w:rsidRPr="00B41FAC">
        <w:rPr>
          <w:rFonts w:cs="Arial"/>
          <w:color w:val="auto"/>
          <w:szCs w:val="24"/>
          <w:lang w:eastAsia="en-US"/>
        </w:rPr>
        <w:t>in order to</w:t>
      </w:r>
      <w:proofErr w:type="gramEnd"/>
      <w:r w:rsidRPr="00B41FAC">
        <w:rPr>
          <w:rFonts w:cs="Arial"/>
          <w:color w:val="auto"/>
          <w:szCs w:val="24"/>
          <w:lang w:eastAsia="en-US"/>
        </w:rPr>
        <w:t xml:space="preserve"> understand the full operating cost of the Force, further information is included in the Comprehensive Income and Expenditure Statement and in the Financial Performance section of this report. </w:t>
      </w:r>
    </w:p>
    <w:p w14:paraId="3FA92E93" w14:textId="4F9CD0A1" w:rsidR="00B41FAC" w:rsidRPr="00B41FAC" w:rsidRDefault="00B41FAC" w:rsidP="00B41FAC">
      <w:pPr>
        <w:ind w:left="0"/>
        <w:rPr>
          <w:rFonts w:eastAsia="Times New Roman" w:cs="Times New Roman"/>
          <w:color w:val="FF0000"/>
          <w:szCs w:val="24"/>
          <w:lang w:eastAsia="en-GB"/>
        </w:rPr>
      </w:pPr>
      <w:r w:rsidRPr="00B41FAC">
        <w:rPr>
          <w:rFonts w:cs="Arial"/>
          <w:color w:val="auto"/>
          <w:szCs w:val="24"/>
          <w:lang w:eastAsia="en-US"/>
        </w:rPr>
        <w:t>Lincolnshire Police is one of five regional forces in the East Midlands and works closely with the other four across various collaborations to provide an efficient service. More detail and how the regional accounts are accounted for in these Financial Statements is provided in Note 1</w:t>
      </w:r>
      <w:r w:rsidR="00C27D4E">
        <w:rPr>
          <w:rFonts w:cs="Arial"/>
          <w:color w:val="auto"/>
          <w:szCs w:val="24"/>
          <w:lang w:eastAsia="en-US"/>
        </w:rPr>
        <w:t>7</w:t>
      </w:r>
      <w:r w:rsidRPr="00B41FAC">
        <w:rPr>
          <w:rFonts w:cs="Arial"/>
          <w:color w:val="auto"/>
          <w:szCs w:val="24"/>
          <w:lang w:eastAsia="en-US"/>
        </w:rPr>
        <w:t>.</w:t>
      </w:r>
    </w:p>
    <w:p w14:paraId="1DADAD13" w14:textId="77777777" w:rsidR="007632B8" w:rsidRDefault="007632B8">
      <w:pPr>
        <w:spacing w:before="0" w:after="200" w:line="276" w:lineRule="auto"/>
        <w:ind w:left="0"/>
        <w:jc w:val="left"/>
        <w:rPr>
          <w:rFonts w:eastAsia="MS Mincho" w:cs="Arial"/>
          <w:b/>
        </w:rPr>
      </w:pPr>
      <w:r>
        <w:rPr>
          <w:rFonts w:eastAsia="MS Mincho" w:cs="Arial"/>
          <w:b/>
        </w:rPr>
        <w:br w:type="page"/>
      </w:r>
    </w:p>
    <w:p w14:paraId="586C94FE" w14:textId="2FAD128E" w:rsidR="00B41FAC" w:rsidRPr="00B41FAC" w:rsidRDefault="00B41FAC" w:rsidP="00B41FAC">
      <w:pPr>
        <w:keepNext/>
        <w:tabs>
          <w:tab w:val="left" w:pos="284"/>
          <w:tab w:val="left" w:pos="851"/>
        </w:tabs>
        <w:spacing w:before="0" w:after="0"/>
        <w:ind w:left="0"/>
        <w:jc w:val="left"/>
        <w:outlineLvl w:val="8"/>
        <w:rPr>
          <w:rFonts w:eastAsia="MS Mincho" w:cs="Arial"/>
          <w:b/>
        </w:rPr>
      </w:pPr>
      <w:r w:rsidRPr="00B41FAC">
        <w:rPr>
          <w:rFonts w:eastAsia="MS Mincho" w:cs="Arial"/>
          <w:b/>
        </w:rPr>
        <w:lastRenderedPageBreak/>
        <w:t>Performance</w:t>
      </w:r>
    </w:p>
    <w:p w14:paraId="589CBB13" w14:textId="415F6EDA"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 xml:space="preserve">The crime statistics used in this section refer </w:t>
      </w:r>
      <w:r w:rsidR="00375D77">
        <w:rPr>
          <w:rFonts w:eastAsia="Times New Roman" w:cs="Times New Roman"/>
          <w:szCs w:val="24"/>
          <w:lang w:eastAsia="en-GB"/>
        </w:rPr>
        <w:t xml:space="preserve">to </w:t>
      </w:r>
      <w:r w:rsidRPr="00B41FAC">
        <w:rPr>
          <w:rFonts w:eastAsia="Times New Roman" w:cs="Times New Roman"/>
          <w:szCs w:val="24"/>
          <w:lang w:eastAsia="en-GB"/>
        </w:rPr>
        <w:t>the calendar year 2020 rather than the financial year (12 months from April 1, 2020) as the financial year data was not available at the time of collation.</w:t>
      </w:r>
    </w:p>
    <w:p w14:paraId="0FC1A9D6" w14:textId="77777777"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 xml:space="preserve">It is impossible to set out crime figures without addressing the effect of the pandemic and lockdown on the statistics.  In most cases the national lockdowns and restrictions have had a positive effect on crime – driving down the totals in many of the recorded criteria.  In certain other cases the pandemic has had the opposite effect.  In the case of anti-social behaviour (ASB), for instance, what appears to be a huge spike is </w:t>
      </w:r>
      <w:proofErr w:type="gramStart"/>
      <w:r w:rsidRPr="00B41FAC">
        <w:rPr>
          <w:rFonts w:eastAsia="Times New Roman" w:cs="Times New Roman"/>
          <w:szCs w:val="24"/>
          <w:lang w:eastAsia="en-GB"/>
        </w:rPr>
        <w:t>actually the</w:t>
      </w:r>
      <w:proofErr w:type="gramEnd"/>
      <w:r w:rsidRPr="00B41FAC">
        <w:rPr>
          <w:rFonts w:eastAsia="Times New Roman" w:cs="Times New Roman"/>
          <w:szCs w:val="24"/>
          <w:lang w:eastAsia="en-GB"/>
        </w:rPr>
        <w:t xml:space="preserve"> result of a decision taken nationally in March 2020 to record breaches of lockdown rules as ASB incidents. Other statistics, such as criminal justice outcomes, have not been recorded because courts have been closed. </w:t>
      </w:r>
    </w:p>
    <w:p w14:paraId="139D39BB" w14:textId="77777777"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 xml:space="preserve">In the 12 months to December 2020 overall crime fell to an annual total of 51,936 a 13.3% reduction on the previous year and the crime harm index (a measurement of crime rates in which crimes are weighted based on how much "harm" they cause) fell by 8.4%. </w:t>
      </w:r>
    </w:p>
    <w:p w14:paraId="11BC7D40" w14:textId="77777777"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 xml:space="preserve">As might be expected during the lockdown all burglaries have reduced during the year. Incidents of residential burglaries dropped by 13.4% to 2,436 and other burglaries dropped by 16.7% to 3,532. </w:t>
      </w:r>
    </w:p>
    <w:p w14:paraId="071DAA37" w14:textId="77777777"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 xml:space="preserve">Theft (excluding vehicles) has plummeted by 24.1% to 8,984 and robbery has fallen even more, dropping 27.3% to just 280 cases. </w:t>
      </w:r>
    </w:p>
    <w:p w14:paraId="1817A8AB" w14:textId="77777777"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 xml:space="preserve">Sexual and violence offences have dropped, violence against the person without injury is down 9% (20,245 cases), violence with injury down by 13.7% (5,475 cases) and sexual offences have dropped by 14.45% to 1,989 cases. </w:t>
      </w:r>
    </w:p>
    <w:p w14:paraId="5EAE73CC" w14:textId="77777777"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 xml:space="preserve">The total number of drug offences for the 12-month period was down 8.9% to 1,761 and arson and criminal damage down 9.5% to 6,172. Vehicle crimes dropped by 24% to 2384. </w:t>
      </w:r>
    </w:p>
    <w:p w14:paraId="659D447B" w14:textId="77777777"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Anti-social behaviour is one of very few crime types which has experienced an increase in the last year, rising by 62.7% to a total number of 21,096. It is important to reiterate, however, that these numbers have been affected by the pandemic and the various lockdowns.  Every call to the Force complaining about a breach of COVID related rules from mask wearing to neighbours’ BBQs are recorded as an ASB crime regardless of whether they are subsequently investigated or not.</w:t>
      </w:r>
    </w:p>
    <w:p w14:paraId="5D5907AF" w14:textId="77777777"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 xml:space="preserve">In addition, it is believed the lockdown itself (forcing more people to work and stay at home) has led to increases in reporting of ASB-type crimes such as those relating to neighbour disputes.  In terms of demand the Force has seen a 2.35% per cent drop in calls for service with an average of 11,720 calls a month. Of the overall calls of 140,642, 82,729 were classified as urgent or a priority. </w:t>
      </w:r>
    </w:p>
    <w:p w14:paraId="3B88BF15" w14:textId="77777777"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 xml:space="preserve">In response to urgent rural calls received in the preceding 12 months 70.35% were responded to by officers within 20 minutes, and 72.5% of urgent urban calls within 15 minutes. This represents a very slight improvement in performance for rural response (0.4%) and a slight decline in urban response times (down 2%). </w:t>
      </w:r>
    </w:p>
    <w:p w14:paraId="081761CC" w14:textId="77777777"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 xml:space="preserve">The Force has also seen an increase in the number of people reporting crimes online rather than phoning the control room. In total 3,830 crimes were recorded online, an increase of 14.9%. </w:t>
      </w:r>
    </w:p>
    <w:p w14:paraId="040F886F" w14:textId="0169E982" w:rsidR="00B41FAC" w:rsidRPr="00B41FAC" w:rsidRDefault="00B41FAC" w:rsidP="00B41FAC">
      <w:pPr>
        <w:ind w:left="0"/>
        <w:rPr>
          <w:rFonts w:eastAsia="Times New Roman" w:cs="Times New Roman"/>
          <w:color w:val="FF0000"/>
          <w:szCs w:val="24"/>
          <w:lang w:val="en-US" w:eastAsia="en-GB"/>
        </w:rPr>
      </w:pPr>
      <w:r w:rsidRPr="00B41FAC">
        <w:rPr>
          <w:rFonts w:cs="Times New Roman"/>
          <w:szCs w:val="24"/>
          <w:lang w:eastAsia="en-US"/>
        </w:rPr>
        <w:lastRenderedPageBreak/>
        <w:t xml:space="preserve">Further information about Force performance </w:t>
      </w:r>
      <w:r w:rsidR="00344E2B">
        <w:rPr>
          <w:rFonts w:cs="Times New Roman"/>
          <w:szCs w:val="24"/>
          <w:lang w:eastAsia="en-US"/>
        </w:rPr>
        <w:t xml:space="preserve">can be found on the PCC website - </w:t>
      </w:r>
      <w:hyperlink r:id="rId15" w:history="1">
        <w:r w:rsidR="00344E2B">
          <w:rPr>
            <w:rStyle w:val="Hyperlink"/>
          </w:rPr>
          <w:t>Public Assurance Meetings (lincolnshire-pcc.gov.uk)</w:t>
        </w:r>
      </w:hyperlink>
      <w:r w:rsidR="00344E2B">
        <w:t xml:space="preserve"> .  The meetings focus on the performance of Lincolnshire Police and provide assurance regarding the effectiveness and efficiency of the policing services.</w:t>
      </w:r>
    </w:p>
    <w:p w14:paraId="2BFA5581" w14:textId="77777777" w:rsidR="007632B8" w:rsidRDefault="007632B8">
      <w:pPr>
        <w:spacing w:before="0" w:after="200" w:line="276" w:lineRule="auto"/>
        <w:ind w:left="0"/>
        <w:jc w:val="left"/>
        <w:rPr>
          <w:rFonts w:eastAsiaTheme="majorEastAsia" w:cs="Arial"/>
          <w:b/>
          <w:bCs/>
          <w:color w:val="auto"/>
          <w:szCs w:val="24"/>
          <w:lang w:eastAsia="en-GB"/>
        </w:rPr>
      </w:pPr>
      <w:r>
        <w:rPr>
          <w:rFonts w:eastAsiaTheme="majorEastAsia" w:cs="Arial"/>
          <w:b/>
          <w:bCs/>
          <w:color w:val="auto"/>
          <w:szCs w:val="24"/>
          <w:lang w:eastAsia="en-GB"/>
        </w:rPr>
        <w:br w:type="page"/>
      </w:r>
    </w:p>
    <w:p w14:paraId="62F1BC13" w14:textId="76440ED7" w:rsidR="00B41FAC" w:rsidRPr="00B41FAC" w:rsidRDefault="00B41FAC" w:rsidP="00B41FAC">
      <w:pPr>
        <w:keepNext/>
        <w:keepLines/>
        <w:spacing w:before="200" w:after="0"/>
        <w:ind w:left="0"/>
        <w:outlineLvl w:val="3"/>
        <w:rPr>
          <w:rFonts w:eastAsiaTheme="majorEastAsia" w:cs="Arial"/>
          <w:b/>
          <w:bCs/>
          <w:color w:val="auto"/>
          <w:szCs w:val="24"/>
          <w:lang w:eastAsia="en-GB"/>
        </w:rPr>
      </w:pPr>
      <w:r w:rsidRPr="00B41FAC">
        <w:rPr>
          <w:rFonts w:eastAsiaTheme="majorEastAsia" w:cs="Arial"/>
          <w:b/>
          <w:bCs/>
          <w:color w:val="auto"/>
          <w:szCs w:val="24"/>
          <w:lang w:eastAsia="en-GB"/>
        </w:rPr>
        <w:lastRenderedPageBreak/>
        <w:t>Gender Pay Gap</w:t>
      </w:r>
    </w:p>
    <w:p w14:paraId="6EC9161E" w14:textId="77777777" w:rsidR="00B41FAC" w:rsidRPr="00B41FAC" w:rsidRDefault="00B41FAC" w:rsidP="00B41FAC">
      <w:pPr>
        <w:ind w:left="0"/>
        <w:rPr>
          <w:rFonts w:cs="Times New Roman"/>
          <w:szCs w:val="24"/>
          <w:lang w:eastAsia="en-US"/>
        </w:rPr>
      </w:pPr>
      <w:r w:rsidRPr="00B41FAC">
        <w:rPr>
          <w:rFonts w:eastAsia="Times New Roman" w:cs="Times New Roman"/>
          <w:szCs w:val="24"/>
          <w:lang w:eastAsia="en-GB"/>
        </w:rPr>
        <w:t>The Equality Act 2010 (Specific Duties and Public Authorities) Regulations 2017 came into effect on 31 March 2017, which requires public sector authorities with 250 or more employees to publish statutory calculations every year showing how large the pay gap is between their male and female employees. Lincolnshire Police employs around 1,500 people and is therefore subject to this duty.</w:t>
      </w:r>
    </w:p>
    <w:p w14:paraId="33626859" w14:textId="77777777" w:rsidR="00B41FAC" w:rsidRPr="00B41FAC" w:rsidRDefault="00B41FAC" w:rsidP="00B41FAC">
      <w:pPr>
        <w:ind w:left="0"/>
        <w:rPr>
          <w:rFonts w:eastAsia="Times New Roman" w:cs="Times New Roman"/>
          <w:b/>
          <w:szCs w:val="24"/>
          <w:lang w:val="en-US" w:eastAsia="en-GB"/>
        </w:rPr>
      </w:pPr>
      <w:r w:rsidRPr="00B41FAC">
        <w:rPr>
          <w:rFonts w:eastAsia="Times New Roman" w:cs="Times New Roman"/>
          <w:b/>
          <w:szCs w:val="24"/>
          <w:lang w:val="en-US" w:eastAsia="en-GB"/>
        </w:rPr>
        <w:t>What is Gender Pay Reporting?</w:t>
      </w:r>
    </w:p>
    <w:p w14:paraId="6149E417" w14:textId="77777777"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It is important to understand that pay for both police officers and staff is determined nationally and to recognise that gender pay reporting is not the same as equal pay.  Equal pay is ensuring equal pay for equal work; however, gender pay reporting compares hourly rates of pay and any bonuses staff may receive by gender, seeking to expose any imbalance. </w:t>
      </w:r>
    </w:p>
    <w:p w14:paraId="6AC02450" w14:textId="77777777"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Based on the results, steps will be taken, where possible, to minimise or readdress any identified inequities going forward.</w:t>
      </w:r>
    </w:p>
    <w:p w14:paraId="2EE17E1F" w14:textId="77777777" w:rsidR="00B41FAC" w:rsidRPr="00B41FAC" w:rsidRDefault="00B41FAC" w:rsidP="003317CF">
      <w:pPr>
        <w:spacing w:before="0" w:after="200" w:line="276" w:lineRule="auto"/>
        <w:ind w:left="0"/>
        <w:jc w:val="left"/>
        <w:rPr>
          <w:rFonts w:eastAsia="Times New Roman" w:cs="Times New Roman"/>
          <w:b/>
          <w:szCs w:val="24"/>
          <w:lang w:val="en-US" w:eastAsia="en-GB"/>
        </w:rPr>
      </w:pPr>
      <w:r w:rsidRPr="00B41FAC">
        <w:rPr>
          <w:rFonts w:eastAsia="Times New Roman" w:cs="Times New Roman"/>
          <w:b/>
          <w:szCs w:val="24"/>
          <w:lang w:val="en-US" w:eastAsia="en-GB"/>
        </w:rPr>
        <w:t>Our Pay Gap Information</w:t>
      </w:r>
    </w:p>
    <w:p w14:paraId="1BB027BB" w14:textId="77777777"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These figures are calculated using the standard methodologies laid out in current legislation:</w:t>
      </w:r>
    </w:p>
    <w:tbl>
      <w:tblPr>
        <w:tblStyle w:val="TableGrid2"/>
        <w:tblW w:w="0" w:type="auto"/>
        <w:tblInd w:w="108" w:type="dxa"/>
        <w:tblLook w:val="04A0" w:firstRow="1" w:lastRow="0" w:firstColumn="1" w:lastColumn="0" w:noHBand="0" w:noVBand="1"/>
      </w:tblPr>
      <w:tblGrid>
        <w:gridCol w:w="2472"/>
        <w:gridCol w:w="1530"/>
        <w:gridCol w:w="1410"/>
        <w:gridCol w:w="1392"/>
        <w:gridCol w:w="2104"/>
      </w:tblGrid>
      <w:tr w:rsidR="00B41FAC" w:rsidRPr="00B41FAC" w14:paraId="6AD2DB25" w14:textId="77777777" w:rsidTr="00B41FAC">
        <w:trPr>
          <w:trHeight w:val="360"/>
        </w:trPr>
        <w:tc>
          <w:tcPr>
            <w:tcW w:w="9072" w:type="dxa"/>
            <w:gridSpan w:val="5"/>
            <w:shd w:val="clear" w:color="auto" w:fill="D9D9D9" w:themeFill="background1" w:themeFillShade="D9"/>
            <w:vAlign w:val="center"/>
          </w:tcPr>
          <w:p w14:paraId="4FF0FAD0" w14:textId="77777777" w:rsidR="00B41FAC" w:rsidRPr="00B41FAC" w:rsidRDefault="00B41FAC" w:rsidP="00B41FAC">
            <w:pPr>
              <w:tabs>
                <w:tab w:val="left" w:pos="-2736"/>
                <w:tab w:val="left" w:pos="284"/>
                <w:tab w:val="left" w:pos="426"/>
              </w:tabs>
              <w:suppressAutoHyphens/>
              <w:spacing w:before="0" w:after="0"/>
              <w:ind w:left="284"/>
              <w:jc w:val="center"/>
              <w:rPr>
                <w:b/>
                <w:color w:val="auto"/>
                <w:szCs w:val="24"/>
                <w:lang w:eastAsia="en-US"/>
              </w:rPr>
            </w:pPr>
            <w:r w:rsidRPr="00B41FAC">
              <w:rPr>
                <w:b/>
                <w:color w:val="auto"/>
                <w:szCs w:val="24"/>
                <w:lang w:eastAsia="en-US"/>
              </w:rPr>
              <w:t>Published mean and median information</w:t>
            </w:r>
          </w:p>
        </w:tc>
      </w:tr>
      <w:tr w:rsidR="00B41FAC" w:rsidRPr="00B41FAC" w14:paraId="6FFE4906" w14:textId="77777777" w:rsidTr="00B41FAC">
        <w:trPr>
          <w:trHeight w:val="283"/>
        </w:trPr>
        <w:tc>
          <w:tcPr>
            <w:tcW w:w="2552" w:type="dxa"/>
            <w:vAlign w:val="center"/>
          </w:tcPr>
          <w:p w14:paraId="362E15A0" w14:textId="77777777" w:rsidR="00B41FAC" w:rsidRPr="00B41FAC" w:rsidRDefault="00B41FAC" w:rsidP="00B41FAC">
            <w:pPr>
              <w:tabs>
                <w:tab w:val="left" w:pos="-2736"/>
                <w:tab w:val="left" w:pos="284"/>
                <w:tab w:val="left" w:pos="426"/>
              </w:tabs>
              <w:suppressAutoHyphens/>
              <w:spacing w:before="0" w:after="0"/>
              <w:ind w:left="284"/>
              <w:jc w:val="left"/>
              <w:rPr>
                <w:color w:val="auto"/>
                <w:szCs w:val="24"/>
                <w:lang w:eastAsia="en-US"/>
              </w:rPr>
            </w:pPr>
          </w:p>
        </w:tc>
        <w:tc>
          <w:tcPr>
            <w:tcW w:w="1559" w:type="dxa"/>
            <w:vAlign w:val="center"/>
          </w:tcPr>
          <w:p w14:paraId="21006648" w14:textId="77777777" w:rsidR="00B41FAC" w:rsidRPr="00B41FAC" w:rsidRDefault="00B41FAC" w:rsidP="00B41FAC">
            <w:pPr>
              <w:tabs>
                <w:tab w:val="left" w:pos="-2736"/>
                <w:tab w:val="left" w:pos="284"/>
                <w:tab w:val="left" w:pos="426"/>
              </w:tabs>
              <w:suppressAutoHyphens/>
              <w:spacing w:before="0" w:after="0"/>
              <w:ind w:left="284"/>
              <w:jc w:val="center"/>
              <w:rPr>
                <w:b/>
                <w:color w:val="auto"/>
                <w:szCs w:val="24"/>
                <w:lang w:eastAsia="en-US"/>
              </w:rPr>
            </w:pPr>
            <w:r w:rsidRPr="00B41FAC">
              <w:rPr>
                <w:b/>
                <w:color w:val="auto"/>
                <w:szCs w:val="24"/>
                <w:lang w:eastAsia="en-US"/>
              </w:rPr>
              <w:t>Male</w:t>
            </w:r>
          </w:p>
        </w:tc>
        <w:tc>
          <w:tcPr>
            <w:tcW w:w="1418" w:type="dxa"/>
            <w:vAlign w:val="center"/>
          </w:tcPr>
          <w:p w14:paraId="276092C1" w14:textId="77777777" w:rsidR="00B41FAC" w:rsidRPr="00B41FAC" w:rsidRDefault="00B41FAC" w:rsidP="00B41FAC">
            <w:pPr>
              <w:tabs>
                <w:tab w:val="left" w:pos="-2736"/>
                <w:tab w:val="left" w:pos="284"/>
                <w:tab w:val="left" w:pos="426"/>
              </w:tabs>
              <w:suppressAutoHyphens/>
              <w:spacing w:before="0" w:after="0"/>
              <w:ind w:left="284"/>
              <w:jc w:val="center"/>
              <w:rPr>
                <w:b/>
                <w:color w:val="auto"/>
                <w:szCs w:val="24"/>
                <w:lang w:eastAsia="en-US"/>
              </w:rPr>
            </w:pPr>
            <w:r w:rsidRPr="00B41FAC">
              <w:rPr>
                <w:b/>
                <w:color w:val="auto"/>
                <w:szCs w:val="24"/>
                <w:lang w:eastAsia="en-US"/>
              </w:rPr>
              <w:t>Female</w:t>
            </w:r>
          </w:p>
        </w:tc>
        <w:tc>
          <w:tcPr>
            <w:tcW w:w="1417" w:type="dxa"/>
            <w:vAlign w:val="center"/>
          </w:tcPr>
          <w:p w14:paraId="3EEAAB3D" w14:textId="77777777" w:rsidR="00B41FAC" w:rsidRPr="00B41FAC" w:rsidRDefault="00B41FAC" w:rsidP="00B41FAC">
            <w:pPr>
              <w:tabs>
                <w:tab w:val="left" w:pos="-2736"/>
                <w:tab w:val="left" w:pos="284"/>
                <w:tab w:val="left" w:pos="426"/>
              </w:tabs>
              <w:suppressAutoHyphens/>
              <w:spacing w:before="0" w:after="0"/>
              <w:ind w:left="284"/>
              <w:jc w:val="center"/>
              <w:rPr>
                <w:b/>
                <w:color w:val="auto"/>
                <w:szCs w:val="24"/>
                <w:lang w:eastAsia="en-US"/>
              </w:rPr>
            </w:pPr>
            <w:r w:rsidRPr="00B41FAC">
              <w:rPr>
                <w:b/>
                <w:color w:val="auto"/>
                <w:szCs w:val="24"/>
                <w:lang w:eastAsia="en-US"/>
              </w:rPr>
              <w:t>Gap</w:t>
            </w:r>
          </w:p>
        </w:tc>
        <w:tc>
          <w:tcPr>
            <w:tcW w:w="2126" w:type="dxa"/>
            <w:vAlign w:val="center"/>
          </w:tcPr>
          <w:p w14:paraId="4BB814AF" w14:textId="77777777" w:rsidR="00B41FAC" w:rsidRPr="00B41FAC" w:rsidRDefault="00B41FAC" w:rsidP="00B41FAC">
            <w:pPr>
              <w:tabs>
                <w:tab w:val="left" w:pos="-2736"/>
                <w:tab w:val="left" w:pos="284"/>
                <w:tab w:val="left" w:pos="426"/>
              </w:tabs>
              <w:suppressAutoHyphens/>
              <w:spacing w:before="0" w:after="0"/>
              <w:ind w:left="284"/>
              <w:jc w:val="center"/>
              <w:rPr>
                <w:b/>
                <w:color w:val="auto"/>
                <w:szCs w:val="24"/>
                <w:lang w:eastAsia="en-US"/>
              </w:rPr>
            </w:pPr>
            <w:r w:rsidRPr="00B41FAC">
              <w:rPr>
                <w:b/>
                <w:color w:val="auto"/>
                <w:szCs w:val="24"/>
                <w:lang w:eastAsia="en-US"/>
              </w:rPr>
              <w:t>Percentage</w:t>
            </w:r>
          </w:p>
        </w:tc>
      </w:tr>
      <w:tr w:rsidR="00B41FAC" w:rsidRPr="00B41FAC" w14:paraId="627342AD" w14:textId="77777777" w:rsidTr="00B41FAC">
        <w:trPr>
          <w:trHeight w:val="283"/>
        </w:trPr>
        <w:tc>
          <w:tcPr>
            <w:tcW w:w="2552" w:type="dxa"/>
            <w:vAlign w:val="center"/>
          </w:tcPr>
          <w:p w14:paraId="09446804" w14:textId="77777777" w:rsidR="00B41FAC" w:rsidRPr="00B41FAC" w:rsidRDefault="00B41FAC" w:rsidP="00B41FAC">
            <w:pPr>
              <w:tabs>
                <w:tab w:val="left" w:pos="-2736"/>
                <w:tab w:val="left" w:pos="426"/>
              </w:tabs>
              <w:suppressAutoHyphens/>
              <w:spacing w:before="0" w:after="0"/>
              <w:ind w:left="0"/>
              <w:jc w:val="left"/>
              <w:rPr>
                <w:color w:val="auto"/>
                <w:szCs w:val="24"/>
                <w:lang w:eastAsia="en-US"/>
              </w:rPr>
            </w:pPr>
            <w:r w:rsidRPr="00B41FAC">
              <w:rPr>
                <w:color w:val="auto"/>
                <w:szCs w:val="24"/>
                <w:lang w:eastAsia="en-US"/>
              </w:rPr>
              <w:t>Mean hourly rate</w:t>
            </w:r>
          </w:p>
        </w:tc>
        <w:tc>
          <w:tcPr>
            <w:tcW w:w="1559" w:type="dxa"/>
            <w:vAlign w:val="center"/>
          </w:tcPr>
          <w:p w14:paraId="2057063F" w14:textId="77777777" w:rsidR="00B41FAC" w:rsidRPr="00B41FAC" w:rsidRDefault="00B41FAC" w:rsidP="00B41FAC">
            <w:pPr>
              <w:tabs>
                <w:tab w:val="left" w:pos="-2736"/>
                <w:tab w:val="left" w:pos="426"/>
              </w:tabs>
              <w:suppressAutoHyphens/>
              <w:spacing w:before="0" w:after="0"/>
              <w:ind w:left="0"/>
              <w:jc w:val="center"/>
              <w:rPr>
                <w:color w:val="auto"/>
                <w:szCs w:val="24"/>
                <w:lang w:eastAsia="en-US"/>
              </w:rPr>
            </w:pPr>
            <w:r w:rsidRPr="00B41FAC">
              <w:rPr>
                <w:color w:val="auto"/>
                <w:szCs w:val="24"/>
                <w:lang w:eastAsia="en-US"/>
              </w:rPr>
              <w:t>£18.83</w:t>
            </w:r>
          </w:p>
        </w:tc>
        <w:tc>
          <w:tcPr>
            <w:tcW w:w="1418" w:type="dxa"/>
            <w:vAlign w:val="center"/>
          </w:tcPr>
          <w:p w14:paraId="4597597B" w14:textId="77777777" w:rsidR="00B41FAC" w:rsidRPr="00B41FAC" w:rsidRDefault="00B41FAC" w:rsidP="00B41FAC">
            <w:pPr>
              <w:tabs>
                <w:tab w:val="left" w:pos="-2736"/>
                <w:tab w:val="left" w:pos="426"/>
              </w:tabs>
              <w:suppressAutoHyphens/>
              <w:spacing w:before="0" w:after="0"/>
              <w:ind w:left="0"/>
              <w:jc w:val="center"/>
              <w:rPr>
                <w:color w:val="auto"/>
                <w:szCs w:val="24"/>
                <w:lang w:eastAsia="en-US"/>
              </w:rPr>
            </w:pPr>
            <w:r w:rsidRPr="00B41FAC">
              <w:rPr>
                <w:color w:val="auto"/>
                <w:szCs w:val="24"/>
                <w:lang w:eastAsia="en-US"/>
              </w:rPr>
              <w:t>£16.98</w:t>
            </w:r>
          </w:p>
        </w:tc>
        <w:tc>
          <w:tcPr>
            <w:tcW w:w="1417" w:type="dxa"/>
            <w:vAlign w:val="center"/>
          </w:tcPr>
          <w:p w14:paraId="5A509F2B" w14:textId="77777777" w:rsidR="00B41FAC" w:rsidRPr="00B41FAC" w:rsidRDefault="00B41FAC" w:rsidP="00B41FAC">
            <w:pPr>
              <w:tabs>
                <w:tab w:val="left" w:pos="-2736"/>
                <w:tab w:val="left" w:pos="426"/>
              </w:tabs>
              <w:suppressAutoHyphens/>
              <w:spacing w:before="0" w:after="0"/>
              <w:ind w:left="0"/>
              <w:jc w:val="center"/>
              <w:rPr>
                <w:color w:val="auto"/>
                <w:szCs w:val="24"/>
                <w:lang w:eastAsia="en-US"/>
              </w:rPr>
            </w:pPr>
            <w:r w:rsidRPr="00B41FAC">
              <w:rPr>
                <w:color w:val="auto"/>
                <w:szCs w:val="24"/>
                <w:lang w:eastAsia="en-US"/>
              </w:rPr>
              <w:t>£1.85</w:t>
            </w:r>
          </w:p>
        </w:tc>
        <w:tc>
          <w:tcPr>
            <w:tcW w:w="2126" w:type="dxa"/>
            <w:vAlign w:val="center"/>
          </w:tcPr>
          <w:p w14:paraId="61F72C81" w14:textId="77777777" w:rsidR="00B41FAC" w:rsidRPr="00B41FAC" w:rsidRDefault="00B41FAC" w:rsidP="00B41FAC">
            <w:pPr>
              <w:tabs>
                <w:tab w:val="left" w:pos="-2736"/>
                <w:tab w:val="left" w:pos="426"/>
              </w:tabs>
              <w:suppressAutoHyphens/>
              <w:spacing w:before="0" w:after="0"/>
              <w:ind w:left="0"/>
              <w:jc w:val="center"/>
              <w:rPr>
                <w:color w:val="auto"/>
                <w:szCs w:val="24"/>
                <w:lang w:eastAsia="en-US"/>
              </w:rPr>
            </w:pPr>
            <w:r w:rsidRPr="00B41FAC">
              <w:rPr>
                <w:color w:val="auto"/>
                <w:szCs w:val="24"/>
                <w:lang w:eastAsia="en-US"/>
              </w:rPr>
              <w:t>9.84%</w:t>
            </w:r>
          </w:p>
        </w:tc>
      </w:tr>
      <w:tr w:rsidR="00B41FAC" w:rsidRPr="00B41FAC" w14:paraId="5884F574" w14:textId="77777777" w:rsidTr="00B41FAC">
        <w:trPr>
          <w:trHeight w:val="283"/>
        </w:trPr>
        <w:tc>
          <w:tcPr>
            <w:tcW w:w="2552" w:type="dxa"/>
            <w:vAlign w:val="center"/>
          </w:tcPr>
          <w:p w14:paraId="7AD1E3AD" w14:textId="77777777" w:rsidR="00B41FAC" w:rsidRPr="00B41FAC" w:rsidRDefault="00B41FAC" w:rsidP="00B41FAC">
            <w:pPr>
              <w:tabs>
                <w:tab w:val="left" w:pos="-2736"/>
                <w:tab w:val="left" w:pos="426"/>
              </w:tabs>
              <w:suppressAutoHyphens/>
              <w:spacing w:before="0" w:after="0"/>
              <w:ind w:left="0"/>
              <w:jc w:val="left"/>
              <w:rPr>
                <w:szCs w:val="24"/>
                <w:lang w:eastAsia="en-US"/>
              </w:rPr>
            </w:pPr>
            <w:r w:rsidRPr="00B41FAC">
              <w:rPr>
                <w:szCs w:val="24"/>
                <w:lang w:eastAsia="en-US"/>
              </w:rPr>
              <w:t>Median hourly rate</w:t>
            </w:r>
          </w:p>
        </w:tc>
        <w:tc>
          <w:tcPr>
            <w:tcW w:w="1559" w:type="dxa"/>
            <w:vAlign w:val="center"/>
          </w:tcPr>
          <w:p w14:paraId="61185536" w14:textId="77777777" w:rsidR="00B41FAC" w:rsidRPr="00B41FAC" w:rsidRDefault="00B41FAC" w:rsidP="00B41FAC">
            <w:pPr>
              <w:tabs>
                <w:tab w:val="left" w:pos="-2736"/>
                <w:tab w:val="left" w:pos="426"/>
              </w:tabs>
              <w:suppressAutoHyphens/>
              <w:spacing w:before="0" w:after="0"/>
              <w:ind w:left="0"/>
              <w:jc w:val="center"/>
              <w:rPr>
                <w:szCs w:val="24"/>
                <w:lang w:eastAsia="en-US"/>
              </w:rPr>
            </w:pPr>
            <w:r w:rsidRPr="00B41FAC">
              <w:rPr>
                <w:szCs w:val="24"/>
                <w:lang w:eastAsia="en-US"/>
              </w:rPr>
              <w:t>£19.22</w:t>
            </w:r>
          </w:p>
        </w:tc>
        <w:tc>
          <w:tcPr>
            <w:tcW w:w="1418" w:type="dxa"/>
            <w:vAlign w:val="center"/>
          </w:tcPr>
          <w:p w14:paraId="7D89F213" w14:textId="77777777" w:rsidR="00B41FAC" w:rsidRPr="00B41FAC" w:rsidRDefault="00B41FAC" w:rsidP="00B41FAC">
            <w:pPr>
              <w:tabs>
                <w:tab w:val="left" w:pos="-2736"/>
                <w:tab w:val="left" w:pos="426"/>
              </w:tabs>
              <w:suppressAutoHyphens/>
              <w:spacing w:before="0" w:after="0"/>
              <w:ind w:left="0"/>
              <w:jc w:val="center"/>
              <w:rPr>
                <w:szCs w:val="24"/>
                <w:lang w:eastAsia="en-US"/>
              </w:rPr>
            </w:pPr>
            <w:r w:rsidRPr="00B41FAC">
              <w:rPr>
                <w:szCs w:val="24"/>
                <w:lang w:eastAsia="en-US"/>
              </w:rPr>
              <w:t>£16.34</w:t>
            </w:r>
          </w:p>
        </w:tc>
        <w:tc>
          <w:tcPr>
            <w:tcW w:w="1417" w:type="dxa"/>
            <w:vAlign w:val="center"/>
          </w:tcPr>
          <w:p w14:paraId="3018AD9A" w14:textId="77777777" w:rsidR="00B41FAC" w:rsidRPr="00B41FAC" w:rsidRDefault="00B41FAC" w:rsidP="00B41FAC">
            <w:pPr>
              <w:tabs>
                <w:tab w:val="left" w:pos="-2736"/>
                <w:tab w:val="left" w:pos="426"/>
              </w:tabs>
              <w:suppressAutoHyphens/>
              <w:spacing w:before="0" w:after="0"/>
              <w:ind w:left="0"/>
              <w:jc w:val="center"/>
              <w:rPr>
                <w:szCs w:val="24"/>
                <w:lang w:eastAsia="en-US"/>
              </w:rPr>
            </w:pPr>
            <w:r w:rsidRPr="00B41FAC">
              <w:rPr>
                <w:szCs w:val="24"/>
                <w:lang w:eastAsia="en-US"/>
              </w:rPr>
              <w:t>£2.88</w:t>
            </w:r>
          </w:p>
        </w:tc>
        <w:tc>
          <w:tcPr>
            <w:tcW w:w="2126" w:type="dxa"/>
            <w:vAlign w:val="center"/>
          </w:tcPr>
          <w:p w14:paraId="3DC8B999" w14:textId="77777777" w:rsidR="00B41FAC" w:rsidRPr="00B41FAC" w:rsidRDefault="00B41FAC" w:rsidP="00B41FAC">
            <w:pPr>
              <w:tabs>
                <w:tab w:val="left" w:pos="-2736"/>
                <w:tab w:val="left" w:pos="426"/>
              </w:tabs>
              <w:suppressAutoHyphens/>
              <w:spacing w:before="0" w:after="0"/>
              <w:ind w:left="0"/>
              <w:jc w:val="center"/>
              <w:rPr>
                <w:szCs w:val="24"/>
                <w:lang w:eastAsia="en-US"/>
              </w:rPr>
            </w:pPr>
            <w:r w:rsidRPr="00B41FAC">
              <w:rPr>
                <w:szCs w:val="24"/>
                <w:lang w:eastAsia="en-US"/>
              </w:rPr>
              <w:t>15.03%</w:t>
            </w:r>
          </w:p>
        </w:tc>
      </w:tr>
    </w:tbl>
    <w:tbl>
      <w:tblPr>
        <w:tblStyle w:val="TableGrid3"/>
        <w:tblW w:w="0" w:type="auto"/>
        <w:tblInd w:w="108" w:type="dxa"/>
        <w:tblLook w:val="04A0" w:firstRow="1" w:lastRow="0" w:firstColumn="1" w:lastColumn="0" w:noHBand="0" w:noVBand="1"/>
      </w:tblPr>
      <w:tblGrid>
        <w:gridCol w:w="2498"/>
        <w:gridCol w:w="1535"/>
        <w:gridCol w:w="1399"/>
        <w:gridCol w:w="1398"/>
        <w:gridCol w:w="2078"/>
      </w:tblGrid>
      <w:tr w:rsidR="00B41FAC" w:rsidRPr="00B41FAC" w14:paraId="659A01D6" w14:textId="77777777" w:rsidTr="00B41FAC">
        <w:trPr>
          <w:trHeight w:val="395"/>
        </w:trPr>
        <w:tc>
          <w:tcPr>
            <w:tcW w:w="9072" w:type="dxa"/>
            <w:gridSpan w:val="5"/>
            <w:shd w:val="clear" w:color="auto" w:fill="D9D9D9" w:themeFill="background1" w:themeFillShade="D9"/>
            <w:vAlign w:val="center"/>
          </w:tcPr>
          <w:p w14:paraId="7FC938EE"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b/>
                <w:szCs w:val="24"/>
                <w:lang w:eastAsia="en-US"/>
              </w:rPr>
            </w:pPr>
            <w:r w:rsidRPr="00B41FAC">
              <w:rPr>
                <w:rFonts w:eastAsia="Times New Roman" w:cs="Times New Roman"/>
                <w:b/>
                <w:szCs w:val="24"/>
                <w:lang w:eastAsia="en-US"/>
              </w:rPr>
              <w:t>Total employees - salary quartile bands</w:t>
            </w:r>
          </w:p>
        </w:tc>
      </w:tr>
      <w:tr w:rsidR="00B41FAC" w:rsidRPr="00B41FAC" w14:paraId="4A752926" w14:textId="77777777" w:rsidTr="00B41FAC">
        <w:trPr>
          <w:trHeight w:val="345"/>
        </w:trPr>
        <w:tc>
          <w:tcPr>
            <w:tcW w:w="2552" w:type="dxa"/>
            <w:vAlign w:val="center"/>
          </w:tcPr>
          <w:p w14:paraId="604566DA" w14:textId="77777777" w:rsidR="00B41FAC" w:rsidRPr="00B41FAC" w:rsidRDefault="00B41FAC" w:rsidP="00B41FAC">
            <w:pPr>
              <w:tabs>
                <w:tab w:val="left" w:pos="-2736"/>
                <w:tab w:val="left" w:pos="426"/>
              </w:tabs>
              <w:suppressAutoHyphens/>
              <w:spacing w:before="0" w:after="0"/>
              <w:ind w:left="0"/>
              <w:jc w:val="left"/>
              <w:rPr>
                <w:rFonts w:eastAsia="Times New Roman" w:cs="Times New Roman"/>
                <w:szCs w:val="24"/>
                <w:lang w:eastAsia="en-US"/>
              </w:rPr>
            </w:pPr>
          </w:p>
        </w:tc>
        <w:tc>
          <w:tcPr>
            <w:tcW w:w="1559" w:type="dxa"/>
            <w:vAlign w:val="center"/>
          </w:tcPr>
          <w:p w14:paraId="6187998D"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b/>
                <w:szCs w:val="24"/>
                <w:lang w:eastAsia="en-US"/>
              </w:rPr>
            </w:pPr>
            <w:r w:rsidRPr="00B41FAC">
              <w:rPr>
                <w:rFonts w:eastAsia="Times New Roman" w:cs="Times New Roman"/>
                <w:b/>
                <w:szCs w:val="24"/>
                <w:lang w:eastAsia="en-US"/>
              </w:rPr>
              <w:t>Lower</w:t>
            </w:r>
          </w:p>
        </w:tc>
        <w:tc>
          <w:tcPr>
            <w:tcW w:w="1418" w:type="dxa"/>
            <w:vAlign w:val="center"/>
          </w:tcPr>
          <w:p w14:paraId="2A1AA6B1"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b/>
                <w:szCs w:val="24"/>
                <w:lang w:eastAsia="en-US"/>
              </w:rPr>
            </w:pPr>
            <w:r w:rsidRPr="00B41FAC">
              <w:rPr>
                <w:rFonts w:eastAsia="Times New Roman" w:cs="Times New Roman"/>
                <w:b/>
                <w:szCs w:val="24"/>
                <w:lang w:eastAsia="en-US"/>
              </w:rPr>
              <w:t>Lower-middle</w:t>
            </w:r>
          </w:p>
        </w:tc>
        <w:tc>
          <w:tcPr>
            <w:tcW w:w="1417" w:type="dxa"/>
            <w:vAlign w:val="center"/>
          </w:tcPr>
          <w:p w14:paraId="5B79A06D"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b/>
                <w:szCs w:val="24"/>
                <w:lang w:eastAsia="en-US"/>
              </w:rPr>
            </w:pPr>
            <w:r w:rsidRPr="00B41FAC">
              <w:rPr>
                <w:rFonts w:eastAsia="Times New Roman" w:cs="Times New Roman"/>
                <w:b/>
                <w:szCs w:val="24"/>
                <w:lang w:eastAsia="en-US"/>
              </w:rPr>
              <w:t>Upper-middle</w:t>
            </w:r>
          </w:p>
        </w:tc>
        <w:tc>
          <w:tcPr>
            <w:tcW w:w="2126" w:type="dxa"/>
            <w:vAlign w:val="center"/>
          </w:tcPr>
          <w:p w14:paraId="640C646A"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b/>
                <w:szCs w:val="24"/>
                <w:lang w:eastAsia="en-US"/>
              </w:rPr>
            </w:pPr>
            <w:r w:rsidRPr="00B41FAC">
              <w:rPr>
                <w:rFonts w:eastAsia="Times New Roman" w:cs="Times New Roman"/>
                <w:b/>
                <w:szCs w:val="24"/>
                <w:lang w:eastAsia="en-US"/>
              </w:rPr>
              <w:t>Upper</w:t>
            </w:r>
          </w:p>
        </w:tc>
      </w:tr>
      <w:tr w:rsidR="00B41FAC" w:rsidRPr="00B41FAC" w14:paraId="1C9B6411" w14:textId="77777777" w:rsidTr="00B41FAC">
        <w:trPr>
          <w:trHeight w:val="283"/>
        </w:trPr>
        <w:tc>
          <w:tcPr>
            <w:tcW w:w="2552" w:type="dxa"/>
            <w:vAlign w:val="center"/>
          </w:tcPr>
          <w:p w14:paraId="0BB86D33" w14:textId="77777777" w:rsidR="00B41FAC" w:rsidRPr="00B41FAC" w:rsidRDefault="00B41FAC" w:rsidP="00B41FAC">
            <w:pPr>
              <w:tabs>
                <w:tab w:val="left" w:pos="-2736"/>
                <w:tab w:val="left" w:pos="426"/>
              </w:tabs>
              <w:suppressAutoHyphens/>
              <w:spacing w:before="0" w:after="0"/>
              <w:ind w:left="0"/>
              <w:jc w:val="left"/>
              <w:rPr>
                <w:rFonts w:eastAsia="Times New Roman" w:cs="Times New Roman"/>
                <w:szCs w:val="24"/>
                <w:lang w:eastAsia="en-US"/>
              </w:rPr>
            </w:pPr>
            <w:r w:rsidRPr="00B41FAC">
              <w:rPr>
                <w:rFonts w:eastAsia="Times New Roman" w:cs="Times New Roman"/>
                <w:szCs w:val="24"/>
                <w:lang w:eastAsia="en-US"/>
              </w:rPr>
              <w:t>Male proportion</w:t>
            </w:r>
          </w:p>
        </w:tc>
        <w:tc>
          <w:tcPr>
            <w:tcW w:w="1559" w:type="dxa"/>
            <w:vAlign w:val="center"/>
          </w:tcPr>
          <w:p w14:paraId="3D420190"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r w:rsidRPr="00B41FAC">
              <w:rPr>
                <w:rFonts w:eastAsia="Times New Roman" w:cs="Times New Roman"/>
                <w:szCs w:val="24"/>
                <w:lang w:eastAsia="en-US"/>
              </w:rPr>
              <w:t>48.93%</w:t>
            </w:r>
          </w:p>
        </w:tc>
        <w:tc>
          <w:tcPr>
            <w:tcW w:w="1418" w:type="dxa"/>
            <w:vAlign w:val="center"/>
          </w:tcPr>
          <w:p w14:paraId="2842C875"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r w:rsidRPr="00B41FAC">
              <w:rPr>
                <w:rFonts w:eastAsia="Times New Roman" w:cs="Times New Roman"/>
                <w:szCs w:val="24"/>
                <w:lang w:eastAsia="en-US"/>
              </w:rPr>
              <w:t>55.88%</w:t>
            </w:r>
          </w:p>
        </w:tc>
        <w:tc>
          <w:tcPr>
            <w:tcW w:w="1417" w:type="dxa"/>
            <w:vAlign w:val="center"/>
          </w:tcPr>
          <w:p w14:paraId="2510ED7F"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r w:rsidRPr="00B41FAC">
              <w:rPr>
                <w:rFonts w:eastAsia="Times New Roman" w:cs="Times New Roman"/>
                <w:szCs w:val="24"/>
                <w:lang w:eastAsia="en-US"/>
              </w:rPr>
              <w:t>70.86%</w:t>
            </w:r>
          </w:p>
        </w:tc>
        <w:tc>
          <w:tcPr>
            <w:tcW w:w="2126" w:type="dxa"/>
            <w:vAlign w:val="center"/>
          </w:tcPr>
          <w:p w14:paraId="1573F56F"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r w:rsidRPr="00B41FAC">
              <w:rPr>
                <w:rFonts w:eastAsia="Times New Roman" w:cs="Times New Roman"/>
                <w:szCs w:val="24"/>
                <w:lang w:eastAsia="en-US"/>
              </w:rPr>
              <w:t>71.39%</w:t>
            </w:r>
          </w:p>
        </w:tc>
      </w:tr>
      <w:tr w:rsidR="00B41FAC" w:rsidRPr="00B41FAC" w14:paraId="29A5577F" w14:textId="77777777" w:rsidTr="00B41FAC">
        <w:trPr>
          <w:trHeight w:val="283"/>
        </w:trPr>
        <w:tc>
          <w:tcPr>
            <w:tcW w:w="2552" w:type="dxa"/>
            <w:vAlign w:val="center"/>
          </w:tcPr>
          <w:p w14:paraId="105A9142" w14:textId="77777777" w:rsidR="00B41FAC" w:rsidRPr="00B41FAC" w:rsidRDefault="00B41FAC" w:rsidP="00B41FAC">
            <w:pPr>
              <w:tabs>
                <w:tab w:val="left" w:pos="-2736"/>
                <w:tab w:val="left" w:pos="426"/>
              </w:tabs>
              <w:suppressAutoHyphens/>
              <w:spacing w:before="0" w:after="0"/>
              <w:ind w:left="0"/>
              <w:jc w:val="left"/>
              <w:rPr>
                <w:rFonts w:eastAsia="Times New Roman" w:cs="Times New Roman"/>
                <w:szCs w:val="24"/>
                <w:lang w:eastAsia="en-US"/>
              </w:rPr>
            </w:pPr>
            <w:r w:rsidRPr="00B41FAC">
              <w:rPr>
                <w:rFonts w:eastAsia="Times New Roman" w:cs="Times New Roman"/>
                <w:szCs w:val="24"/>
                <w:lang w:eastAsia="en-US"/>
              </w:rPr>
              <w:t>Female proportion</w:t>
            </w:r>
          </w:p>
        </w:tc>
        <w:tc>
          <w:tcPr>
            <w:tcW w:w="1559" w:type="dxa"/>
            <w:vAlign w:val="center"/>
          </w:tcPr>
          <w:p w14:paraId="7D83437A"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r w:rsidRPr="00B41FAC">
              <w:rPr>
                <w:rFonts w:eastAsia="Times New Roman" w:cs="Times New Roman"/>
                <w:szCs w:val="24"/>
                <w:lang w:eastAsia="en-US"/>
              </w:rPr>
              <w:t>51.07%</w:t>
            </w:r>
          </w:p>
        </w:tc>
        <w:tc>
          <w:tcPr>
            <w:tcW w:w="1418" w:type="dxa"/>
            <w:vAlign w:val="center"/>
          </w:tcPr>
          <w:p w14:paraId="2FC0897F"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r w:rsidRPr="00B41FAC">
              <w:rPr>
                <w:rFonts w:eastAsia="Times New Roman" w:cs="Times New Roman"/>
                <w:szCs w:val="24"/>
                <w:lang w:eastAsia="en-US"/>
              </w:rPr>
              <w:t>44.12%</w:t>
            </w:r>
          </w:p>
        </w:tc>
        <w:tc>
          <w:tcPr>
            <w:tcW w:w="1417" w:type="dxa"/>
            <w:vAlign w:val="center"/>
          </w:tcPr>
          <w:p w14:paraId="08678F74"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r w:rsidRPr="00B41FAC">
              <w:rPr>
                <w:rFonts w:eastAsia="Times New Roman" w:cs="Times New Roman"/>
                <w:szCs w:val="24"/>
                <w:lang w:eastAsia="en-US"/>
              </w:rPr>
              <w:t>29.14%</w:t>
            </w:r>
          </w:p>
        </w:tc>
        <w:tc>
          <w:tcPr>
            <w:tcW w:w="2126" w:type="dxa"/>
            <w:vAlign w:val="center"/>
          </w:tcPr>
          <w:p w14:paraId="07F6FF1B"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r w:rsidRPr="00B41FAC">
              <w:rPr>
                <w:rFonts w:eastAsia="Times New Roman" w:cs="Times New Roman"/>
                <w:szCs w:val="24"/>
                <w:lang w:eastAsia="en-US"/>
              </w:rPr>
              <w:t>28.61%</w:t>
            </w:r>
          </w:p>
        </w:tc>
      </w:tr>
    </w:tbl>
    <w:tbl>
      <w:tblPr>
        <w:tblStyle w:val="TableGrid4"/>
        <w:tblW w:w="0" w:type="auto"/>
        <w:tblInd w:w="108" w:type="dxa"/>
        <w:tblLook w:val="04A0" w:firstRow="1" w:lastRow="0" w:firstColumn="1" w:lastColumn="0" w:noHBand="0" w:noVBand="1"/>
      </w:tblPr>
      <w:tblGrid>
        <w:gridCol w:w="2491"/>
        <w:gridCol w:w="1534"/>
        <w:gridCol w:w="1399"/>
        <w:gridCol w:w="1392"/>
        <w:gridCol w:w="2092"/>
      </w:tblGrid>
      <w:tr w:rsidR="00B41FAC" w:rsidRPr="00B41FAC" w14:paraId="5C1A0CEF" w14:textId="77777777" w:rsidTr="00B41FAC">
        <w:trPr>
          <w:trHeight w:val="392"/>
        </w:trPr>
        <w:tc>
          <w:tcPr>
            <w:tcW w:w="9072" w:type="dxa"/>
            <w:gridSpan w:val="5"/>
            <w:shd w:val="clear" w:color="auto" w:fill="D9D9D9" w:themeFill="background1" w:themeFillShade="D9"/>
            <w:vAlign w:val="center"/>
          </w:tcPr>
          <w:p w14:paraId="471A6ED0"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b/>
                <w:szCs w:val="24"/>
                <w:lang w:eastAsia="en-US"/>
              </w:rPr>
            </w:pPr>
            <w:r w:rsidRPr="00B41FAC">
              <w:rPr>
                <w:rFonts w:eastAsia="Times New Roman" w:cs="Times New Roman"/>
                <w:b/>
                <w:szCs w:val="24"/>
                <w:lang w:eastAsia="en-US"/>
              </w:rPr>
              <w:t>Published bonus information</w:t>
            </w:r>
            <w:r w:rsidRPr="00B41FAC">
              <w:rPr>
                <w:rFonts w:eastAsia="Times New Roman" w:cs="Times New Roman"/>
                <w:b/>
                <w:szCs w:val="24"/>
                <w:vertAlign w:val="superscript"/>
                <w:lang w:eastAsia="en-US"/>
              </w:rPr>
              <w:t>*</w:t>
            </w:r>
          </w:p>
        </w:tc>
      </w:tr>
      <w:tr w:rsidR="00B41FAC" w:rsidRPr="00B41FAC" w14:paraId="7B6CF963" w14:textId="77777777" w:rsidTr="00B41FAC">
        <w:trPr>
          <w:trHeight w:val="283"/>
        </w:trPr>
        <w:tc>
          <w:tcPr>
            <w:tcW w:w="2552" w:type="dxa"/>
            <w:vAlign w:val="center"/>
          </w:tcPr>
          <w:p w14:paraId="6E6F11D3" w14:textId="77777777" w:rsidR="00B41FAC" w:rsidRPr="00B41FAC" w:rsidRDefault="00B41FAC" w:rsidP="00B41FAC">
            <w:pPr>
              <w:tabs>
                <w:tab w:val="left" w:pos="-2736"/>
                <w:tab w:val="left" w:pos="426"/>
              </w:tabs>
              <w:suppressAutoHyphens/>
              <w:spacing w:before="0" w:after="0"/>
              <w:ind w:left="0"/>
              <w:jc w:val="left"/>
              <w:rPr>
                <w:rFonts w:eastAsia="Times New Roman" w:cs="Times New Roman"/>
                <w:szCs w:val="24"/>
                <w:lang w:eastAsia="en-US"/>
              </w:rPr>
            </w:pPr>
          </w:p>
        </w:tc>
        <w:tc>
          <w:tcPr>
            <w:tcW w:w="1559" w:type="dxa"/>
            <w:vAlign w:val="center"/>
          </w:tcPr>
          <w:p w14:paraId="360BC629"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b/>
                <w:szCs w:val="24"/>
                <w:lang w:eastAsia="en-US"/>
              </w:rPr>
            </w:pPr>
            <w:r w:rsidRPr="00B41FAC">
              <w:rPr>
                <w:rFonts w:eastAsia="Times New Roman" w:cs="Times New Roman"/>
                <w:b/>
                <w:szCs w:val="24"/>
                <w:lang w:eastAsia="en-US"/>
              </w:rPr>
              <w:t>Male</w:t>
            </w:r>
          </w:p>
        </w:tc>
        <w:tc>
          <w:tcPr>
            <w:tcW w:w="1418" w:type="dxa"/>
            <w:vAlign w:val="center"/>
          </w:tcPr>
          <w:p w14:paraId="7CBDEC21"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b/>
                <w:szCs w:val="24"/>
                <w:lang w:eastAsia="en-US"/>
              </w:rPr>
            </w:pPr>
            <w:r w:rsidRPr="00B41FAC">
              <w:rPr>
                <w:rFonts w:eastAsia="Times New Roman" w:cs="Times New Roman"/>
                <w:b/>
                <w:szCs w:val="24"/>
                <w:lang w:eastAsia="en-US"/>
              </w:rPr>
              <w:t>Female</w:t>
            </w:r>
          </w:p>
        </w:tc>
        <w:tc>
          <w:tcPr>
            <w:tcW w:w="1417" w:type="dxa"/>
            <w:vAlign w:val="center"/>
          </w:tcPr>
          <w:p w14:paraId="1D18BB01"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b/>
                <w:szCs w:val="24"/>
                <w:lang w:eastAsia="en-US"/>
              </w:rPr>
            </w:pPr>
            <w:r w:rsidRPr="00B41FAC">
              <w:rPr>
                <w:rFonts w:eastAsia="Times New Roman" w:cs="Times New Roman"/>
                <w:b/>
                <w:szCs w:val="24"/>
                <w:lang w:eastAsia="en-US"/>
              </w:rPr>
              <w:t>Gap</w:t>
            </w:r>
          </w:p>
        </w:tc>
        <w:tc>
          <w:tcPr>
            <w:tcW w:w="2126" w:type="dxa"/>
            <w:vAlign w:val="center"/>
          </w:tcPr>
          <w:p w14:paraId="58CAE982"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b/>
                <w:szCs w:val="24"/>
                <w:lang w:eastAsia="en-US"/>
              </w:rPr>
            </w:pPr>
            <w:r w:rsidRPr="00B41FAC">
              <w:rPr>
                <w:rFonts w:eastAsia="Times New Roman" w:cs="Times New Roman"/>
                <w:b/>
                <w:szCs w:val="24"/>
                <w:lang w:eastAsia="en-US"/>
              </w:rPr>
              <w:t>Percentage</w:t>
            </w:r>
          </w:p>
        </w:tc>
      </w:tr>
      <w:tr w:rsidR="00B41FAC" w:rsidRPr="00B41FAC" w14:paraId="6E6059E2" w14:textId="77777777" w:rsidTr="00B41FAC">
        <w:trPr>
          <w:trHeight w:val="283"/>
        </w:trPr>
        <w:tc>
          <w:tcPr>
            <w:tcW w:w="2552" w:type="dxa"/>
            <w:vAlign w:val="center"/>
          </w:tcPr>
          <w:p w14:paraId="1EA85104" w14:textId="77777777" w:rsidR="00B41FAC" w:rsidRPr="00B41FAC" w:rsidRDefault="00B41FAC" w:rsidP="00B41FAC">
            <w:pPr>
              <w:tabs>
                <w:tab w:val="left" w:pos="-2736"/>
                <w:tab w:val="left" w:pos="426"/>
              </w:tabs>
              <w:suppressAutoHyphens/>
              <w:spacing w:before="0" w:after="0"/>
              <w:ind w:left="0"/>
              <w:jc w:val="left"/>
              <w:rPr>
                <w:rFonts w:eastAsia="Times New Roman" w:cs="Times New Roman"/>
                <w:szCs w:val="24"/>
                <w:lang w:eastAsia="en-US"/>
              </w:rPr>
            </w:pPr>
            <w:r w:rsidRPr="00B41FAC">
              <w:rPr>
                <w:rFonts w:eastAsia="Times New Roman" w:cs="Times New Roman"/>
                <w:szCs w:val="24"/>
                <w:lang w:eastAsia="en-US"/>
              </w:rPr>
              <w:t>Mean bonus</w:t>
            </w:r>
          </w:p>
        </w:tc>
        <w:tc>
          <w:tcPr>
            <w:tcW w:w="1559" w:type="dxa"/>
            <w:vAlign w:val="center"/>
          </w:tcPr>
          <w:p w14:paraId="3A38B848"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r w:rsidRPr="00B41FAC">
              <w:rPr>
                <w:rFonts w:eastAsia="Times New Roman" w:cs="Times New Roman"/>
                <w:szCs w:val="24"/>
                <w:lang w:eastAsia="en-US"/>
              </w:rPr>
              <w:t>£158.04</w:t>
            </w:r>
          </w:p>
        </w:tc>
        <w:tc>
          <w:tcPr>
            <w:tcW w:w="1418" w:type="dxa"/>
            <w:vAlign w:val="center"/>
          </w:tcPr>
          <w:p w14:paraId="2D0273FB"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r w:rsidRPr="00B41FAC">
              <w:rPr>
                <w:rFonts w:eastAsia="Times New Roman" w:cs="Times New Roman"/>
                <w:szCs w:val="24"/>
                <w:lang w:eastAsia="en-US"/>
              </w:rPr>
              <w:t>£145.83</w:t>
            </w:r>
          </w:p>
        </w:tc>
        <w:tc>
          <w:tcPr>
            <w:tcW w:w="1417" w:type="dxa"/>
            <w:vAlign w:val="center"/>
          </w:tcPr>
          <w:p w14:paraId="52282525"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r w:rsidRPr="00B41FAC">
              <w:rPr>
                <w:rFonts w:eastAsia="Times New Roman" w:cs="Times New Roman"/>
                <w:szCs w:val="24"/>
                <w:lang w:eastAsia="en-US"/>
              </w:rPr>
              <w:t>£12.21</w:t>
            </w:r>
          </w:p>
        </w:tc>
        <w:tc>
          <w:tcPr>
            <w:tcW w:w="2126" w:type="dxa"/>
            <w:vAlign w:val="center"/>
          </w:tcPr>
          <w:p w14:paraId="6925E8C9"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r w:rsidRPr="00B41FAC">
              <w:rPr>
                <w:rFonts w:eastAsia="Times New Roman" w:cs="Times New Roman"/>
                <w:szCs w:val="24"/>
                <w:lang w:eastAsia="en-US"/>
              </w:rPr>
              <w:t>7.72%</w:t>
            </w:r>
          </w:p>
        </w:tc>
      </w:tr>
      <w:tr w:rsidR="00B41FAC" w:rsidRPr="00B41FAC" w14:paraId="5E84BF78" w14:textId="77777777" w:rsidTr="00B41FAC">
        <w:trPr>
          <w:trHeight w:val="283"/>
        </w:trPr>
        <w:tc>
          <w:tcPr>
            <w:tcW w:w="2552" w:type="dxa"/>
            <w:vAlign w:val="center"/>
          </w:tcPr>
          <w:p w14:paraId="01651E67" w14:textId="77777777" w:rsidR="00B41FAC" w:rsidRPr="00B41FAC" w:rsidRDefault="00B41FAC" w:rsidP="00B41FAC">
            <w:pPr>
              <w:tabs>
                <w:tab w:val="left" w:pos="-2736"/>
                <w:tab w:val="left" w:pos="426"/>
              </w:tabs>
              <w:suppressAutoHyphens/>
              <w:spacing w:before="0" w:after="0"/>
              <w:ind w:left="0"/>
              <w:jc w:val="left"/>
              <w:rPr>
                <w:rFonts w:eastAsia="Times New Roman" w:cs="Times New Roman"/>
                <w:szCs w:val="24"/>
                <w:lang w:eastAsia="en-US"/>
              </w:rPr>
            </w:pPr>
            <w:r w:rsidRPr="00B41FAC">
              <w:rPr>
                <w:rFonts w:eastAsia="Times New Roman" w:cs="Times New Roman"/>
                <w:szCs w:val="24"/>
                <w:lang w:eastAsia="en-US"/>
              </w:rPr>
              <w:t>Median bonus</w:t>
            </w:r>
          </w:p>
        </w:tc>
        <w:tc>
          <w:tcPr>
            <w:tcW w:w="1559" w:type="dxa"/>
            <w:vAlign w:val="center"/>
          </w:tcPr>
          <w:p w14:paraId="1F4C0D18"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r w:rsidRPr="00B41FAC">
              <w:rPr>
                <w:rFonts w:eastAsia="Times New Roman" w:cs="Times New Roman"/>
                <w:szCs w:val="24"/>
                <w:lang w:eastAsia="en-US"/>
              </w:rPr>
              <w:t>£100.00</w:t>
            </w:r>
          </w:p>
        </w:tc>
        <w:tc>
          <w:tcPr>
            <w:tcW w:w="1418" w:type="dxa"/>
            <w:vAlign w:val="center"/>
          </w:tcPr>
          <w:p w14:paraId="439F039F"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r w:rsidRPr="00B41FAC">
              <w:rPr>
                <w:rFonts w:eastAsia="Times New Roman" w:cs="Times New Roman"/>
                <w:szCs w:val="24"/>
                <w:lang w:eastAsia="en-US"/>
              </w:rPr>
              <w:t>£100.00</w:t>
            </w:r>
          </w:p>
        </w:tc>
        <w:tc>
          <w:tcPr>
            <w:tcW w:w="1417" w:type="dxa"/>
            <w:vAlign w:val="center"/>
          </w:tcPr>
          <w:p w14:paraId="465ACF0E"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r w:rsidRPr="00B41FAC">
              <w:rPr>
                <w:rFonts w:eastAsia="Times New Roman" w:cs="Times New Roman"/>
                <w:szCs w:val="24"/>
                <w:lang w:eastAsia="en-US"/>
              </w:rPr>
              <w:t>£0</w:t>
            </w:r>
          </w:p>
        </w:tc>
        <w:tc>
          <w:tcPr>
            <w:tcW w:w="2126" w:type="dxa"/>
            <w:vAlign w:val="center"/>
          </w:tcPr>
          <w:p w14:paraId="24C6179E"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r w:rsidRPr="00B41FAC">
              <w:rPr>
                <w:rFonts w:eastAsia="Times New Roman" w:cs="Times New Roman"/>
                <w:szCs w:val="24"/>
                <w:lang w:eastAsia="en-US"/>
              </w:rPr>
              <w:t>0%</w:t>
            </w:r>
          </w:p>
        </w:tc>
      </w:tr>
      <w:tr w:rsidR="00B41FAC" w:rsidRPr="00B41FAC" w14:paraId="6EB36888" w14:textId="77777777" w:rsidTr="00B41FAC">
        <w:trPr>
          <w:trHeight w:val="283"/>
        </w:trPr>
        <w:tc>
          <w:tcPr>
            <w:tcW w:w="2552" w:type="dxa"/>
            <w:vAlign w:val="center"/>
          </w:tcPr>
          <w:p w14:paraId="25B24BD7" w14:textId="77777777" w:rsidR="00B41FAC" w:rsidRPr="00B41FAC" w:rsidRDefault="00B41FAC" w:rsidP="00B41FAC">
            <w:pPr>
              <w:tabs>
                <w:tab w:val="left" w:pos="-2736"/>
              </w:tabs>
              <w:suppressAutoHyphens/>
              <w:spacing w:before="0" w:after="0"/>
              <w:ind w:left="0"/>
              <w:jc w:val="left"/>
              <w:rPr>
                <w:rFonts w:eastAsia="Times New Roman" w:cs="Times New Roman"/>
                <w:szCs w:val="24"/>
                <w:lang w:eastAsia="en-US"/>
              </w:rPr>
            </w:pPr>
            <w:r w:rsidRPr="00B41FAC">
              <w:rPr>
                <w:rFonts w:eastAsia="Times New Roman" w:cs="Times New Roman"/>
                <w:szCs w:val="24"/>
                <w:lang w:eastAsia="en-US"/>
              </w:rPr>
              <w:t>Proportion receiving a bonus</w:t>
            </w:r>
          </w:p>
        </w:tc>
        <w:tc>
          <w:tcPr>
            <w:tcW w:w="1559" w:type="dxa"/>
            <w:vAlign w:val="center"/>
          </w:tcPr>
          <w:p w14:paraId="44144A80"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r w:rsidRPr="00B41FAC">
              <w:rPr>
                <w:rFonts w:eastAsia="Times New Roman" w:cs="Times New Roman"/>
                <w:szCs w:val="24"/>
                <w:lang w:eastAsia="en-US"/>
              </w:rPr>
              <w:t>3.03%</w:t>
            </w:r>
          </w:p>
        </w:tc>
        <w:tc>
          <w:tcPr>
            <w:tcW w:w="1418" w:type="dxa"/>
            <w:vAlign w:val="center"/>
          </w:tcPr>
          <w:p w14:paraId="597AF0B5"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r w:rsidRPr="00B41FAC">
              <w:rPr>
                <w:rFonts w:eastAsia="Times New Roman" w:cs="Times New Roman"/>
                <w:szCs w:val="24"/>
                <w:lang w:eastAsia="en-US"/>
              </w:rPr>
              <w:t>1.05%</w:t>
            </w:r>
          </w:p>
        </w:tc>
        <w:tc>
          <w:tcPr>
            <w:tcW w:w="1417" w:type="dxa"/>
            <w:vAlign w:val="center"/>
          </w:tcPr>
          <w:p w14:paraId="5C713248"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r w:rsidRPr="00B41FAC">
              <w:rPr>
                <w:rFonts w:eastAsia="Times New Roman" w:cs="Times New Roman"/>
                <w:szCs w:val="24"/>
                <w:lang w:eastAsia="en-US"/>
              </w:rPr>
              <w:t>1.98%</w:t>
            </w:r>
          </w:p>
        </w:tc>
        <w:tc>
          <w:tcPr>
            <w:tcW w:w="2126" w:type="dxa"/>
            <w:vAlign w:val="center"/>
          </w:tcPr>
          <w:p w14:paraId="7DA2EEE3" w14:textId="77777777" w:rsidR="00B41FAC" w:rsidRPr="00B41FAC" w:rsidRDefault="00B41FAC" w:rsidP="00B41FAC">
            <w:pPr>
              <w:tabs>
                <w:tab w:val="left" w:pos="-2736"/>
                <w:tab w:val="left" w:pos="426"/>
              </w:tabs>
              <w:suppressAutoHyphens/>
              <w:spacing w:before="0" w:after="0"/>
              <w:ind w:left="0"/>
              <w:jc w:val="center"/>
              <w:rPr>
                <w:rFonts w:eastAsia="Times New Roman" w:cs="Times New Roman"/>
                <w:szCs w:val="24"/>
                <w:lang w:eastAsia="en-US"/>
              </w:rPr>
            </w:pPr>
          </w:p>
        </w:tc>
      </w:tr>
    </w:tbl>
    <w:p w14:paraId="73BE2329" w14:textId="77777777" w:rsidR="00B41FAC" w:rsidRPr="00B41FAC" w:rsidRDefault="00B41FAC" w:rsidP="00B41FAC">
      <w:pPr>
        <w:ind w:left="0"/>
        <w:rPr>
          <w:rFonts w:eastAsia="Times New Roman" w:cs="Times New Roman"/>
          <w:sz w:val="16"/>
          <w:szCs w:val="16"/>
          <w:lang w:eastAsia="en-GB"/>
        </w:rPr>
      </w:pPr>
      <w:r w:rsidRPr="00B41FAC">
        <w:rPr>
          <w:rFonts w:eastAsia="Times New Roman" w:cs="Times New Roman"/>
          <w:sz w:val="16"/>
          <w:szCs w:val="16"/>
          <w:vertAlign w:val="superscript"/>
          <w:lang w:eastAsia="en-GB"/>
        </w:rPr>
        <w:t>*</w:t>
      </w:r>
      <w:r w:rsidRPr="00B41FAC">
        <w:rPr>
          <w:rFonts w:eastAsia="Times New Roman" w:cs="Times New Roman"/>
          <w:sz w:val="16"/>
          <w:szCs w:val="16"/>
          <w:lang w:eastAsia="en-GB"/>
        </w:rPr>
        <w:t>Bonuses are usually paid for ‘unpleasant tasks’, or for additional work or responsibilities.  Chief Officers do not receive bonuses.</w:t>
      </w:r>
    </w:p>
    <w:p w14:paraId="6057E28A" w14:textId="77777777" w:rsidR="00B41FAC" w:rsidRPr="00B41FAC" w:rsidRDefault="00B41FAC" w:rsidP="00B41FAC">
      <w:pPr>
        <w:tabs>
          <w:tab w:val="left" w:pos="284"/>
        </w:tabs>
        <w:ind w:left="0"/>
        <w:rPr>
          <w:rFonts w:eastAsia="Times New Roman" w:cs="Times New Roman"/>
          <w:b/>
          <w:szCs w:val="24"/>
          <w:lang w:eastAsia="en-GB"/>
        </w:rPr>
      </w:pPr>
      <w:r w:rsidRPr="00B41FAC">
        <w:rPr>
          <w:rFonts w:eastAsia="Times New Roman" w:cs="Times New Roman"/>
          <w:b/>
          <w:szCs w:val="24"/>
          <w:lang w:eastAsia="en-GB"/>
        </w:rPr>
        <w:t>Summary</w:t>
      </w:r>
    </w:p>
    <w:p w14:paraId="269AB1B5" w14:textId="5E1651E0" w:rsidR="00B41FAC" w:rsidRPr="00B41FAC" w:rsidRDefault="00B41FAC" w:rsidP="00B41FAC">
      <w:pPr>
        <w:tabs>
          <w:tab w:val="left" w:pos="284"/>
        </w:tabs>
        <w:ind w:left="0"/>
        <w:rPr>
          <w:rFonts w:eastAsia="Times New Roman" w:cs="Times New Roman"/>
          <w:szCs w:val="24"/>
          <w:lang w:eastAsia="en-GB"/>
        </w:rPr>
      </w:pPr>
      <w:r w:rsidRPr="00B41FAC">
        <w:rPr>
          <w:rFonts w:eastAsia="Times New Roman" w:cs="Times New Roman"/>
          <w:szCs w:val="24"/>
          <w:lang w:eastAsia="en-GB"/>
        </w:rPr>
        <w:t>Lincolnshire Police remain committed to ensuring fairness, inclusivity and the equal treatment of all employees regardless of protected characteristics, and therefore we are pleased to have a gender pay gap which is 5.66% lower than the national average of 15.5% (</w:t>
      </w:r>
      <w:hyperlink r:id="rId16" w:tooltip="Office of National Statistics (ONS) website" w:history="1">
        <w:r w:rsidRPr="00B41FAC">
          <w:rPr>
            <w:rFonts w:cs="Times New Roman"/>
            <w:color w:val="0000FF"/>
            <w:szCs w:val="24"/>
            <w:u w:val="single"/>
            <w:lang w:eastAsia="en-US"/>
          </w:rPr>
          <w:t>Office of National Statistics</w:t>
        </w:r>
      </w:hyperlink>
      <w:r w:rsidRPr="00B41FAC">
        <w:rPr>
          <w:rFonts w:eastAsia="Times New Roman" w:cs="Times New Roman"/>
          <w:szCs w:val="24"/>
          <w:lang w:eastAsia="en-GB"/>
        </w:rPr>
        <w:t>).</w:t>
      </w:r>
      <w:r w:rsidR="00344E2B">
        <w:rPr>
          <w:rFonts w:eastAsia="Times New Roman" w:cs="Times New Roman"/>
          <w:szCs w:val="24"/>
          <w:lang w:eastAsia="en-GB"/>
        </w:rPr>
        <w:t xml:space="preserve">  </w:t>
      </w:r>
      <w:bookmarkStart w:id="36" w:name="_Hlk73012555"/>
      <w:r w:rsidR="008F2201">
        <w:rPr>
          <w:rFonts w:eastAsia="Times New Roman" w:cs="Times New Roman"/>
          <w:szCs w:val="24"/>
          <w:lang w:eastAsia="en-GB"/>
        </w:rPr>
        <w:t xml:space="preserve">The gender pay gap has also reduce from the previous year from 10.5% (gap £1.96) to 9.84% (gap £1.85) respectively.  </w:t>
      </w:r>
      <w:r w:rsidR="00344E2B">
        <w:rPr>
          <w:rFonts w:eastAsia="Times New Roman" w:cs="Times New Roman"/>
          <w:szCs w:val="24"/>
          <w:lang w:eastAsia="en-GB"/>
        </w:rPr>
        <w:t xml:space="preserve"> </w:t>
      </w:r>
      <w:bookmarkEnd w:id="36"/>
    </w:p>
    <w:p w14:paraId="17A043F9" w14:textId="77777777" w:rsidR="00B41FAC" w:rsidRPr="00B41FAC" w:rsidRDefault="00B41FAC" w:rsidP="00B41FAC">
      <w:pPr>
        <w:tabs>
          <w:tab w:val="left" w:pos="284"/>
        </w:tabs>
        <w:ind w:left="0"/>
        <w:rPr>
          <w:rFonts w:eastAsia="Times New Roman" w:cs="Times New Roman"/>
          <w:szCs w:val="24"/>
          <w:lang w:val="en-US" w:eastAsia="en-GB"/>
        </w:rPr>
      </w:pPr>
      <w:r w:rsidRPr="00B41FAC">
        <w:rPr>
          <w:rFonts w:eastAsia="Times New Roman" w:cs="Times New Roman"/>
          <w:szCs w:val="24"/>
          <w:lang w:eastAsia="en-GB"/>
        </w:rPr>
        <w:t xml:space="preserve">The Chief Officer team remain determined to tackle the under-representation of women through all grades and ranks and provide every opportunity for women to progress.  The Force remains committed to ensuring fairness and inclusivity within Lincolnshire </w:t>
      </w:r>
      <w:proofErr w:type="gramStart"/>
      <w:r w:rsidRPr="00B41FAC">
        <w:rPr>
          <w:rFonts w:eastAsia="Times New Roman" w:cs="Times New Roman"/>
          <w:szCs w:val="24"/>
          <w:lang w:eastAsia="en-GB"/>
        </w:rPr>
        <w:t>Police, and</w:t>
      </w:r>
      <w:proofErr w:type="gramEnd"/>
      <w:r w:rsidRPr="00B41FAC">
        <w:rPr>
          <w:rFonts w:eastAsia="Times New Roman" w:cs="Times New Roman"/>
          <w:szCs w:val="24"/>
          <w:lang w:eastAsia="en-GB"/>
        </w:rPr>
        <w:t xml:space="preserve"> acknowledge the many benefits this brings to our organisation</w:t>
      </w:r>
      <w:r w:rsidRPr="00B41FAC">
        <w:rPr>
          <w:rFonts w:eastAsia="Times New Roman" w:cs="Times New Roman"/>
          <w:szCs w:val="24"/>
          <w:lang w:val="en-US" w:eastAsia="en-GB"/>
        </w:rPr>
        <w:t>.</w:t>
      </w:r>
    </w:p>
    <w:p w14:paraId="7A5C6B6A" w14:textId="77777777" w:rsidR="00B41FAC" w:rsidRPr="00B41FAC" w:rsidRDefault="00B41FAC" w:rsidP="00B41FAC">
      <w:pPr>
        <w:keepNext/>
        <w:tabs>
          <w:tab w:val="left" w:pos="284"/>
          <w:tab w:val="left" w:pos="851"/>
        </w:tabs>
        <w:spacing w:before="0" w:after="0"/>
        <w:ind w:left="0"/>
        <w:jc w:val="left"/>
        <w:outlineLvl w:val="8"/>
        <w:rPr>
          <w:rFonts w:eastAsia="MS Mincho" w:cs="Arial"/>
          <w:b/>
        </w:rPr>
      </w:pPr>
      <w:r w:rsidRPr="00B41FAC">
        <w:rPr>
          <w:rFonts w:eastAsia="MS Mincho" w:cs="Arial"/>
          <w:b/>
        </w:rPr>
        <w:lastRenderedPageBreak/>
        <w:t>Financial Performance</w:t>
      </w:r>
    </w:p>
    <w:p w14:paraId="4691B80B" w14:textId="77777777" w:rsidR="00B41FAC" w:rsidRPr="00B41FAC" w:rsidRDefault="00B41FAC" w:rsidP="00B41FAC">
      <w:pPr>
        <w:ind w:left="0"/>
        <w:rPr>
          <w:rFonts w:eastAsia="Times New Roman" w:cs="Times New Roman"/>
          <w:color w:val="FF0000"/>
          <w:szCs w:val="24"/>
          <w:lang w:eastAsia="en-GB"/>
        </w:rPr>
      </w:pPr>
      <w:r w:rsidRPr="00B41FAC">
        <w:rPr>
          <w:rFonts w:eastAsia="Times New Roman" w:cs="Times New Roman"/>
          <w:color w:val="auto"/>
          <w:lang w:eastAsia="en-GB"/>
        </w:rPr>
        <w:t>A summarised statement of the actual net expenditure compared to the approved original budget for the year is set out below:</w:t>
      </w:r>
    </w:p>
    <w:tbl>
      <w:tblPr>
        <w:tblW w:w="6520" w:type="dxa"/>
        <w:tblInd w:w="93" w:type="dxa"/>
        <w:tblLook w:val="04A0" w:firstRow="1" w:lastRow="0" w:firstColumn="1" w:lastColumn="0" w:noHBand="0" w:noVBand="1"/>
      </w:tblPr>
      <w:tblGrid>
        <w:gridCol w:w="4085"/>
        <w:gridCol w:w="1167"/>
        <w:gridCol w:w="1268"/>
      </w:tblGrid>
      <w:tr w:rsidR="00B41FAC" w:rsidRPr="00B41FAC" w14:paraId="338FC817" w14:textId="77777777" w:rsidTr="00B41FAC">
        <w:trPr>
          <w:trHeight w:val="257"/>
        </w:trPr>
        <w:tc>
          <w:tcPr>
            <w:tcW w:w="4085" w:type="dxa"/>
            <w:tcBorders>
              <w:top w:val="single" w:sz="8" w:space="0" w:color="auto"/>
              <w:left w:val="single" w:sz="8" w:space="0" w:color="auto"/>
              <w:bottom w:val="single" w:sz="4" w:space="0" w:color="auto"/>
              <w:right w:val="nil"/>
            </w:tcBorders>
            <w:shd w:val="clear" w:color="auto" w:fill="auto"/>
            <w:noWrap/>
            <w:vAlign w:val="bottom"/>
            <w:hideMark/>
          </w:tcPr>
          <w:p w14:paraId="5F4E659F" w14:textId="77777777" w:rsidR="00B41FAC" w:rsidRPr="00B41FAC" w:rsidRDefault="00B41FAC" w:rsidP="00B41FAC">
            <w:pPr>
              <w:spacing w:before="0" w:after="0"/>
              <w:ind w:left="0"/>
              <w:jc w:val="left"/>
              <w:rPr>
                <w:rFonts w:eastAsia="Times New Roman" w:cs="Arial"/>
                <w:color w:val="000000"/>
                <w:sz w:val="18"/>
                <w:szCs w:val="18"/>
                <w:lang w:eastAsia="en-GB"/>
              </w:rPr>
            </w:pPr>
            <w:r w:rsidRPr="00B41FAC">
              <w:rPr>
                <w:rFonts w:eastAsia="Times New Roman" w:cs="Arial"/>
                <w:color w:val="000000"/>
                <w:sz w:val="18"/>
                <w:szCs w:val="18"/>
                <w:lang w:eastAsia="en-GB"/>
              </w:rPr>
              <w:t> </w:t>
            </w:r>
          </w:p>
        </w:tc>
        <w:tc>
          <w:tcPr>
            <w:tcW w:w="1167" w:type="dxa"/>
            <w:tcBorders>
              <w:top w:val="single" w:sz="8" w:space="0" w:color="auto"/>
              <w:left w:val="nil"/>
              <w:bottom w:val="single" w:sz="4" w:space="0" w:color="auto"/>
              <w:right w:val="nil"/>
            </w:tcBorders>
            <w:shd w:val="clear" w:color="auto" w:fill="auto"/>
            <w:noWrap/>
            <w:vAlign w:val="bottom"/>
            <w:hideMark/>
          </w:tcPr>
          <w:p w14:paraId="5D9D669E" w14:textId="77777777" w:rsidR="00B41FAC" w:rsidRPr="00B41FAC" w:rsidRDefault="00B41FAC" w:rsidP="00B41FAC">
            <w:pPr>
              <w:spacing w:before="0" w:after="0"/>
              <w:ind w:left="0"/>
              <w:jc w:val="right"/>
              <w:rPr>
                <w:rFonts w:eastAsia="Times New Roman" w:cs="Arial"/>
                <w:b/>
                <w:bCs/>
                <w:color w:val="000000"/>
                <w:sz w:val="18"/>
                <w:szCs w:val="18"/>
                <w:lang w:eastAsia="en-GB"/>
              </w:rPr>
            </w:pPr>
            <w:r w:rsidRPr="00B41FAC">
              <w:rPr>
                <w:rFonts w:eastAsia="Times New Roman" w:cs="Arial"/>
                <w:b/>
                <w:bCs/>
                <w:color w:val="000000"/>
                <w:sz w:val="18"/>
                <w:szCs w:val="18"/>
                <w:lang w:eastAsia="en-GB"/>
              </w:rPr>
              <w:t>2019/20</w:t>
            </w:r>
          </w:p>
        </w:tc>
        <w:tc>
          <w:tcPr>
            <w:tcW w:w="1268" w:type="dxa"/>
            <w:tcBorders>
              <w:top w:val="single" w:sz="8" w:space="0" w:color="auto"/>
              <w:left w:val="single" w:sz="4" w:space="0" w:color="auto"/>
              <w:bottom w:val="single" w:sz="4" w:space="0" w:color="auto"/>
              <w:right w:val="single" w:sz="8" w:space="0" w:color="auto"/>
            </w:tcBorders>
            <w:shd w:val="clear" w:color="auto" w:fill="auto"/>
            <w:noWrap/>
            <w:vAlign w:val="bottom"/>
            <w:hideMark/>
          </w:tcPr>
          <w:p w14:paraId="7A769DC7" w14:textId="77777777" w:rsidR="00B41FAC" w:rsidRPr="00B41FAC" w:rsidRDefault="00B41FAC" w:rsidP="00B41FAC">
            <w:pPr>
              <w:spacing w:before="0" w:after="0"/>
              <w:ind w:left="0"/>
              <w:jc w:val="right"/>
              <w:rPr>
                <w:rFonts w:eastAsia="Times New Roman" w:cs="Arial"/>
                <w:b/>
                <w:bCs/>
                <w:color w:val="000000"/>
                <w:sz w:val="18"/>
                <w:szCs w:val="18"/>
                <w:lang w:eastAsia="en-GB"/>
              </w:rPr>
            </w:pPr>
            <w:r w:rsidRPr="00B41FAC">
              <w:rPr>
                <w:rFonts w:eastAsia="Times New Roman" w:cs="Arial"/>
                <w:b/>
                <w:bCs/>
                <w:color w:val="000000"/>
                <w:sz w:val="18"/>
                <w:szCs w:val="18"/>
                <w:lang w:eastAsia="en-GB"/>
              </w:rPr>
              <w:t>2020/21</w:t>
            </w:r>
          </w:p>
        </w:tc>
      </w:tr>
      <w:tr w:rsidR="00B41FAC" w:rsidRPr="00B41FAC" w14:paraId="7CBCB5CF" w14:textId="77777777" w:rsidTr="00B41FAC">
        <w:trPr>
          <w:trHeight w:val="257"/>
        </w:trPr>
        <w:tc>
          <w:tcPr>
            <w:tcW w:w="4085" w:type="dxa"/>
            <w:tcBorders>
              <w:top w:val="nil"/>
              <w:left w:val="single" w:sz="8" w:space="0" w:color="auto"/>
              <w:bottom w:val="nil"/>
              <w:right w:val="nil"/>
            </w:tcBorders>
            <w:shd w:val="clear" w:color="auto" w:fill="auto"/>
            <w:noWrap/>
            <w:vAlign w:val="bottom"/>
            <w:hideMark/>
          </w:tcPr>
          <w:p w14:paraId="2DFBEA4E" w14:textId="4DFC883B" w:rsidR="00B41FAC" w:rsidRPr="00B41FAC" w:rsidRDefault="00D47ED4" w:rsidP="00B41FAC">
            <w:pPr>
              <w:spacing w:before="0" w:after="0"/>
              <w:ind w:left="0"/>
              <w:jc w:val="left"/>
              <w:rPr>
                <w:rFonts w:eastAsia="Times New Roman" w:cs="Arial"/>
                <w:b/>
                <w:bCs/>
                <w:color w:val="000000"/>
                <w:sz w:val="18"/>
                <w:szCs w:val="18"/>
                <w:lang w:eastAsia="en-GB"/>
              </w:rPr>
            </w:pPr>
            <w:r>
              <w:rPr>
                <w:rFonts w:eastAsia="Times New Roman" w:cs="Arial"/>
                <w:b/>
                <w:bCs/>
                <w:color w:val="000000"/>
                <w:sz w:val="18"/>
                <w:szCs w:val="18"/>
                <w:lang w:eastAsia="en-GB"/>
              </w:rPr>
              <w:t>Chief Constable of</w:t>
            </w:r>
            <w:r w:rsidR="00B41FAC" w:rsidRPr="00B41FAC">
              <w:rPr>
                <w:rFonts w:eastAsia="Times New Roman" w:cs="Arial"/>
                <w:b/>
                <w:bCs/>
                <w:color w:val="000000"/>
                <w:sz w:val="18"/>
                <w:szCs w:val="18"/>
                <w:lang w:eastAsia="en-GB"/>
              </w:rPr>
              <w:t xml:space="preserve"> Lincolnshire</w:t>
            </w:r>
          </w:p>
        </w:tc>
        <w:tc>
          <w:tcPr>
            <w:tcW w:w="1167" w:type="dxa"/>
            <w:tcBorders>
              <w:top w:val="nil"/>
              <w:left w:val="nil"/>
              <w:bottom w:val="nil"/>
              <w:right w:val="nil"/>
            </w:tcBorders>
            <w:shd w:val="clear" w:color="auto" w:fill="auto"/>
            <w:noWrap/>
            <w:vAlign w:val="bottom"/>
            <w:hideMark/>
          </w:tcPr>
          <w:p w14:paraId="345884E8" w14:textId="77777777" w:rsidR="00B41FAC" w:rsidRPr="00B41FAC" w:rsidRDefault="00B41FAC" w:rsidP="00B41FAC">
            <w:pPr>
              <w:spacing w:before="0" w:after="0"/>
              <w:ind w:left="0"/>
              <w:jc w:val="right"/>
              <w:rPr>
                <w:rFonts w:eastAsia="Times New Roman" w:cs="Arial"/>
                <w:b/>
                <w:bCs/>
                <w:color w:val="000000"/>
                <w:sz w:val="18"/>
                <w:szCs w:val="18"/>
                <w:lang w:eastAsia="en-GB"/>
              </w:rPr>
            </w:pPr>
            <w:r w:rsidRPr="00B41FAC">
              <w:rPr>
                <w:rFonts w:eastAsia="Times New Roman" w:cs="Arial"/>
                <w:b/>
                <w:bCs/>
                <w:color w:val="000000"/>
                <w:sz w:val="18"/>
                <w:szCs w:val="18"/>
                <w:lang w:eastAsia="en-GB"/>
              </w:rPr>
              <w:t>£m</w:t>
            </w:r>
          </w:p>
        </w:tc>
        <w:tc>
          <w:tcPr>
            <w:tcW w:w="1268" w:type="dxa"/>
            <w:tcBorders>
              <w:top w:val="nil"/>
              <w:left w:val="single" w:sz="4" w:space="0" w:color="auto"/>
              <w:bottom w:val="nil"/>
              <w:right w:val="single" w:sz="8" w:space="0" w:color="auto"/>
            </w:tcBorders>
            <w:shd w:val="clear" w:color="auto" w:fill="auto"/>
            <w:noWrap/>
            <w:vAlign w:val="bottom"/>
            <w:hideMark/>
          </w:tcPr>
          <w:p w14:paraId="42EF9890" w14:textId="77777777" w:rsidR="00B41FAC" w:rsidRPr="00B41FAC" w:rsidRDefault="00B41FAC" w:rsidP="00B41FAC">
            <w:pPr>
              <w:spacing w:before="0" w:after="0"/>
              <w:ind w:left="0"/>
              <w:jc w:val="right"/>
              <w:rPr>
                <w:rFonts w:eastAsia="Times New Roman" w:cs="Arial"/>
                <w:b/>
                <w:bCs/>
                <w:color w:val="000000"/>
                <w:sz w:val="18"/>
                <w:szCs w:val="18"/>
                <w:lang w:eastAsia="en-GB"/>
              </w:rPr>
            </w:pPr>
            <w:r w:rsidRPr="00B41FAC">
              <w:rPr>
                <w:rFonts w:eastAsia="Times New Roman" w:cs="Arial"/>
                <w:b/>
                <w:bCs/>
                <w:color w:val="000000"/>
                <w:sz w:val="18"/>
                <w:szCs w:val="18"/>
                <w:lang w:eastAsia="en-GB"/>
              </w:rPr>
              <w:t>£m</w:t>
            </w:r>
          </w:p>
        </w:tc>
      </w:tr>
      <w:tr w:rsidR="00B41FAC" w:rsidRPr="00B41FAC" w14:paraId="352AC36C" w14:textId="77777777" w:rsidTr="00B41FAC">
        <w:trPr>
          <w:trHeight w:val="257"/>
        </w:trPr>
        <w:tc>
          <w:tcPr>
            <w:tcW w:w="4085" w:type="dxa"/>
            <w:tcBorders>
              <w:top w:val="nil"/>
              <w:left w:val="single" w:sz="8" w:space="0" w:color="auto"/>
              <w:bottom w:val="nil"/>
              <w:right w:val="nil"/>
            </w:tcBorders>
            <w:shd w:val="clear" w:color="auto" w:fill="auto"/>
            <w:noWrap/>
            <w:vAlign w:val="bottom"/>
            <w:hideMark/>
          </w:tcPr>
          <w:p w14:paraId="6E97BCCF" w14:textId="77777777" w:rsidR="00B41FAC" w:rsidRPr="00B41FAC" w:rsidRDefault="00B41FAC" w:rsidP="00B41FAC">
            <w:pPr>
              <w:spacing w:before="0" w:after="0"/>
              <w:ind w:left="0"/>
              <w:jc w:val="left"/>
              <w:rPr>
                <w:rFonts w:eastAsia="Times New Roman" w:cs="Arial"/>
                <w:color w:val="000000"/>
                <w:sz w:val="18"/>
                <w:szCs w:val="18"/>
                <w:lang w:eastAsia="en-GB"/>
              </w:rPr>
            </w:pPr>
            <w:r w:rsidRPr="00B41FAC">
              <w:rPr>
                <w:rFonts w:eastAsia="Times New Roman" w:cs="Arial"/>
                <w:color w:val="000000"/>
                <w:sz w:val="18"/>
                <w:szCs w:val="18"/>
                <w:lang w:eastAsia="en-GB"/>
              </w:rPr>
              <w:t>Original Delegated Budget</w:t>
            </w:r>
          </w:p>
        </w:tc>
        <w:tc>
          <w:tcPr>
            <w:tcW w:w="1167" w:type="dxa"/>
            <w:tcBorders>
              <w:top w:val="nil"/>
              <w:left w:val="nil"/>
              <w:bottom w:val="nil"/>
              <w:right w:val="nil"/>
            </w:tcBorders>
            <w:shd w:val="clear" w:color="auto" w:fill="auto"/>
            <w:noWrap/>
            <w:vAlign w:val="bottom"/>
            <w:hideMark/>
          </w:tcPr>
          <w:p w14:paraId="4E333FB8" w14:textId="6C030DCE" w:rsidR="00B41FAC" w:rsidRPr="00B41FAC" w:rsidRDefault="00B41FAC" w:rsidP="00B41FAC">
            <w:pPr>
              <w:spacing w:before="0" w:after="0"/>
              <w:ind w:left="0"/>
              <w:jc w:val="right"/>
              <w:rPr>
                <w:rFonts w:eastAsia="Times New Roman" w:cs="Arial"/>
                <w:color w:val="000000"/>
                <w:sz w:val="18"/>
                <w:szCs w:val="18"/>
                <w:lang w:eastAsia="en-GB"/>
              </w:rPr>
            </w:pPr>
            <w:r w:rsidRPr="00B41FAC">
              <w:rPr>
                <w:rFonts w:eastAsia="Times New Roman" w:cs="Arial"/>
                <w:color w:val="000000"/>
                <w:sz w:val="18"/>
                <w:szCs w:val="18"/>
                <w:lang w:eastAsia="en-GB"/>
              </w:rPr>
              <w:t>93</w:t>
            </w:r>
            <w:r w:rsidR="00533849">
              <w:rPr>
                <w:rFonts w:eastAsia="Times New Roman" w:cs="Arial"/>
                <w:color w:val="000000"/>
                <w:sz w:val="18"/>
                <w:szCs w:val="18"/>
                <w:lang w:eastAsia="en-GB"/>
              </w:rPr>
              <w:t>.7</w:t>
            </w:r>
          </w:p>
        </w:tc>
        <w:tc>
          <w:tcPr>
            <w:tcW w:w="1268" w:type="dxa"/>
            <w:tcBorders>
              <w:top w:val="nil"/>
              <w:left w:val="single" w:sz="4" w:space="0" w:color="auto"/>
              <w:bottom w:val="nil"/>
              <w:right w:val="single" w:sz="8" w:space="0" w:color="auto"/>
            </w:tcBorders>
            <w:shd w:val="clear" w:color="auto" w:fill="auto"/>
            <w:noWrap/>
            <w:vAlign w:val="bottom"/>
            <w:hideMark/>
          </w:tcPr>
          <w:p w14:paraId="1F204CB0" w14:textId="77777777" w:rsidR="00B41FAC" w:rsidRPr="00B41FAC" w:rsidRDefault="00B41FAC" w:rsidP="00B41FAC">
            <w:pPr>
              <w:spacing w:before="0" w:after="0"/>
              <w:ind w:left="0"/>
              <w:jc w:val="right"/>
              <w:rPr>
                <w:rFonts w:eastAsia="Times New Roman" w:cs="Arial"/>
                <w:color w:val="000000"/>
                <w:sz w:val="18"/>
                <w:szCs w:val="18"/>
                <w:lang w:eastAsia="en-GB"/>
              </w:rPr>
            </w:pPr>
            <w:r w:rsidRPr="00B41FAC">
              <w:rPr>
                <w:rFonts w:eastAsia="Times New Roman" w:cs="Arial"/>
                <w:color w:val="000000"/>
                <w:sz w:val="18"/>
                <w:szCs w:val="18"/>
                <w:lang w:eastAsia="en-GB"/>
              </w:rPr>
              <w:t>97.8</w:t>
            </w:r>
          </w:p>
        </w:tc>
      </w:tr>
      <w:tr w:rsidR="00B41FAC" w:rsidRPr="00B41FAC" w14:paraId="30C1C9C3" w14:textId="77777777" w:rsidTr="00B41FAC">
        <w:trPr>
          <w:trHeight w:val="257"/>
        </w:trPr>
        <w:tc>
          <w:tcPr>
            <w:tcW w:w="4085" w:type="dxa"/>
            <w:tcBorders>
              <w:top w:val="nil"/>
              <w:left w:val="single" w:sz="8" w:space="0" w:color="auto"/>
              <w:bottom w:val="single" w:sz="4" w:space="0" w:color="auto"/>
              <w:right w:val="nil"/>
            </w:tcBorders>
            <w:shd w:val="clear" w:color="auto" w:fill="auto"/>
            <w:noWrap/>
            <w:vAlign w:val="bottom"/>
            <w:hideMark/>
          </w:tcPr>
          <w:p w14:paraId="4497C4A6" w14:textId="77777777" w:rsidR="00B41FAC" w:rsidRPr="00B41FAC" w:rsidRDefault="00B41FAC" w:rsidP="00B41FAC">
            <w:pPr>
              <w:spacing w:before="0" w:after="0"/>
              <w:ind w:left="0"/>
              <w:jc w:val="left"/>
              <w:rPr>
                <w:rFonts w:eastAsia="Times New Roman" w:cs="Arial"/>
                <w:color w:val="000000"/>
                <w:sz w:val="18"/>
                <w:szCs w:val="18"/>
                <w:lang w:eastAsia="en-GB"/>
              </w:rPr>
            </w:pPr>
            <w:r w:rsidRPr="00B41FAC">
              <w:rPr>
                <w:rFonts w:eastAsia="Times New Roman" w:cs="Arial"/>
                <w:color w:val="000000"/>
                <w:sz w:val="18"/>
                <w:szCs w:val="18"/>
                <w:lang w:eastAsia="en-GB"/>
              </w:rPr>
              <w:t>Outturn</w:t>
            </w:r>
          </w:p>
        </w:tc>
        <w:tc>
          <w:tcPr>
            <w:tcW w:w="1167" w:type="dxa"/>
            <w:tcBorders>
              <w:top w:val="nil"/>
              <w:left w:val="nil"/>
              <w:bottom w:val="single" w:sz="4" w:space="0" w:color="auto"/>
              <w:right w:val="nil"/>
            </w:tcBorders>
            <w:shd w:val="clear" w:color="auto" w:fill="auto"/>
            <w:noWrap/>
            <w:vAlign w:val="bottom"/>
            <w:hideMark/>
          </w:tcPr>
          <w:p w14:paraId="0D5FF9E9" w14:textId="4C3597E3" w:rsidR="00B41FAC" w:rsidRPr="00B41FAC" w:rsidRDefault="00B41FAC" w:rsidP="00B41FAC">
            <w:pPr>
              <w:spacing w:before="0" w:after="0"/>
              <w:ind w:left="0"/>
              <w:jc w:val="right"/>
              <w:rPr>
                <w:rFonts w:eastAsia="Times New Roman" w:cs="Arial"/>
                <w:color w:val="000000"/>
                <w:sz w:val="18"/>
                <w:szCs w:val="18"/>
                <w:lang w:eastAsia="en-GB"/>
              </w:rPr>
            </w:pPr>
            <w:r w:rsidRPr="00B41FAC">
              <w:rPr>
                <w:rFonts w:eastAsia="Times New Roman" w:cs="Arial"/>
                <w:color w:val="000000"/>
                <w:sz w:val="18"/>
                <w:szCs w:val="18"/>
                <w:lang w:eastAsia="en-GB"/>
              </w:rPr>
              <w:t>9</w:t>
            </w:r>
            <w:r w:rsidR="00533849">
              <w:rPr>
                <w:rFonts w:eastAsia="Times New Roman" w:cs="Arial"/>
                <w:color w:val="000000"/>
                <w:sz w:val="18"/>
                <w:szCs w:val="18"/>
                <w:lang w:eastAsia="en-GB"/>
              </w:rPr>
              <w:t>3.5</w:t>
            </w:r>
          </w:p>
        </w:tc>
        <w:tc>
          <w:tcPr>
            <w:tcW w:w="1268" w:type="dxa"/>
            <w:tcBorders>
              <w:top w:val="nil"/>
              <w:left w:val="single" w:sz="4" w:space="0" w:color="auto"/>
              <w:bottom w:val="single" w:sz="4" w:space="0" w:color="auto"/>
              <w:right w:val="single" w:sz="8" w:space="0" w:color="auto"/>
            </w:tcBorders>
            <w:shd w:val="clear" w:color="auto" w:fill="auto"/>
            <w:noWrap/>
            <w:vAlign w:val="bottom"/>
            <w:hideMark/>
          </w:tcPr>
          <w:p w14:paraId="36031ECF" w14:textId="77777777" w:rsidR="00B41FAC" w:rsidRPr="00B41FAC" w:rsidRDefault="00B41FAC" w:rsidP="00B41FAC">
            <w:pPr>
              <w:spacing w:before="0" w:after="0"/>
              <w:ind w:left="0"/>
              <w:jc w:val="right"/>
              <w:rPr>
                <w:rFonts w:eastAsia="Times New Roman" w:cs="Arial"/>
                <w:color w:val="000000"/>
                <w:sz w:val="18"/>
                <w:szCs w:val="18"/>
                <w:lang w:eastAsia="en-GB"/>
              </w:rPr>
            </w:pPr>
            <w:r w:rsidRPr="00B41FAC">
              <w:rPr>
                <w:rFonts w:eastAsia="Times New Roman" w:cs="Arial"/>
                <w:color w:val="000000"/>
                <w:sz w:val="18"/>
                <w:szCs w:val="18"/>
                <w:lang w:eastAsia="en-GB"/>
              </w:rPr>
              <w:t>96.9</w:t>
            </w:r>
          </w:p>
        </w:tc>
      </w:tr>
      <w:tr w:rsidR="00B41FAC" w:rsidRPr="00B41FAC" w14:paraId="1CA2321C" w14:textId="77777777" w:rsidTr="00B41FAC">
        <w:trPr>
          <w:trHeight w:val="270"/>
        </w:trPr>
        <w:tc>
          <w:tcPr>
            <w:tcW w:w="4085" w:type="dxa"/>
            <w:tcBorders>
              <w:top w:val="nil"/>
              <w:left w:val="single" w:sz="8" w:space="0" w:color="auto"/>
              <w:bottom w:val="single" w:sz="8" w:space="0" w:color="auto"/>
              <w:right w:val="nil"/>
            </w:tcBorders>
            <w:shd w:val="clear" w:color="auto" w:fill="auto"/>
            <w:noWrap/>
            <w:vAlign w:val="bottom"/>
            <w:hideMark/>
          </w:tcPr>
          <w:p w14:paraId="1565FA29" w14:textId="77777777" w:rsidR="00B41FAC" w:rsidRPr="00B41FAC" w:rsidRDefault="00B41FAC" w:rsidP="00B41FAC">
            <w:pPr>
              <w:spacing w:before="0" w:after="0"/>
              <w:ind w:left="0"/>
              <w:jc w:val="left"/>
              <w:rPr>
                <w:rFonts w:eastAsia="Times New Roman" w:cs="Arial"/>
                <w:color w:val="000000"/>
                <w:sz w:val="18"/>
                <w:szCs w:val="18"/>
                <w:lang w:eastAsia="en-GB"/>
              </w:rPr>
            </w:pPr>
            <w:r w:rsidRPr="00B41FAC">
              <w:rPr>
                <w:rFonts w:eastAsia="Times New Roman" w:cs="Arial"/>
                <w:color w:val="000000"/>
                <w:sz w:val="18"/>
                <w:szCs w:val="18"/>
                <w:lang w:eastAsia="en-GB"/>
              </w:rPr>
              <w:t>(Underspend)/Overspend</w:t>
            </w:r>
          </w:p>
        </w:tc>
        <w:tc>
          <w:tcPr>
            <w:tcW w:w="1167" w:type="dxa"/>
            <w:tcBorders>
              <w:top w:val="nil"/>
              <w:left w:val="nil"/>
              <w:bottom w:val="single" w:sz="8" w:space="0" w:color="auto"/>
              <w:right w:val="nil"/>
            </w:tcBorders>
            <w:shd w:val="clear" w:color="auto" w:fill="auto"/>
            <w:noWrap/>
            <w:vAlign w:val="bottom"/>
            <w:hideMark/>
          </w:tcPr>
          <w:p w14:paraId="043AB2D7" w14:textId="77777777" w:rsidR="00B41FAC" w:rsidRPr="00B41FAC" w:rsidRDefault="00B41FAC" w:rsidP="00B41FAC">
            <w:pPr>
              <w:spacing w:before="0" w:after="0"/>
              <w:ind w:left="0"/>
              <w:jc w:val="right"/>
              <w:rPr>
                <w:rFonts w:eastAsia="Times New Roman" w:cs="Arial"/>
                <w:b/>
                <w:color w:val="000000"/>
                <w:sz w:val="18"/>
                <w:szCs w:val="18"/>
                <w:lang w:eastAsia="en-GB"/>
              </w:rPr>
            </w:pPr>
            <w:r w:rsidRPr="00B41FAC">
              <w:rPr>
                <w:rFonts w:eastAsia="Times New Roman" w:cs="Arial"/>
                <w:b/>
                <w:color w:val="000000"/>
                <w:sz w:val="18"/>
                <w:szCs w:val="18"/>
                <w:lang w:eastAsia="en-GB"/>
              </w:rPr>
              <w:t>(0.2)</w:t>
            </w:r>
          </w:p>
        </w:tc>
        <w:tc>
          <w:tcPr>
            <w:tcW w:w="1268" w:type="dxa"/>
            <w:tcBorders>
              <w:top w:val="nil"/>
              <w:left w:val="single" w:sz="4" w:space="0" w:color="auto"/>
              <w:bottom w:val="single" w:sz="8" w:space="0" w:color="auto"/>
              <w:right w:val="single" w:sz="8" w:space="0" w:color="auto"/>
            </w:tcBorders>
            <w:shd w:val="clear" w:color="auto" w:fill="auto"/>
            <w:noWrap/>
            <w:vAlign w:val="bottom"/>
            <w:hideMark/>
          </w:tcPr>
          <w:p w14:paraId="5AEBA192" w14:textId="77777777" w:rsidR="00B41FAC" w:rsidRPr="00B41FAC" w:rsidRDefault="00B41FAC" w:rsidP="00B41FAC">
            <w:pPr>
              <w:spacing w:before="0" w:after="0"/>
              <w:ind w:left="0"/>
              <w:jc w:val="right"/>
              <w:rPr>
                <w:rFonts w:eastAsia="Times New Roman" w:cs="Arial"/>
                <w:b/>
                <w:color w:val="000000"/>
                <w:sz w:val="18"/>
                <w:szCs w:val="18"/>
                <w:lang w:eastAsia="en-GB"/>
              </w:rPr>
            </w:pPr>
            <w:r w:rsidRPr="00B41FAC">
              <w:rPr>
                <w:rFonts w:eastAsia="Times New Roman" w:cs="Arial"/>
                <w:b/>
                <w:color w:val="000000"/>
                <w:sz w:val="18"/>
                <w:szCs w:val="18"/>
                <w:lang w:eastAsia="en-GB"/>
              </w:rPr>
              <w:t>(0.9)</w:t>
            </w:r>
          </w:p>
        </w:tc>
      </w:tr>
    </w:tbl>
    <w:p w14:paraId="15692E5F" w14:textId="77777777" w:rsidR="00B41FAC" w:rsidRPr="00B41FAC" w:rsidRDefault="00B41FAC" w:rsidP="00B41FAC">
      <w:pPr>
        <w:ind w:left="0"/>
        <w:rPr>
          <w:rFonts w:cs="Times New Roman"/>
          <w:szCs w:val="24"/>
          <w:lang w:eastAsia="en-US"/>
        </w:rPr>
      </w:pPr>
      <w:r w:rsidRPr="00B41FAC">
        <w:rPr>
          <w:rFonts w:cs="Times New Roman"/>
          <w:szCs w:val="24"/>
          <w:lang w:eastAsia="en-US"/>
        </w:rPr>
        <w:t xml:space="preserve">This includes only the budgets directly delegated to the Chief Constable and excludes the G4S strategic partnership, which is held by the PCC and provides a wide range of operational and support functions to the Chief Constable. </w:t>
      </w:r>
    </w:p>
    <w:p w14:paraId="7F24AFF3" w14:textId="0F981036" w:rsidR="00B41FAC" w:rsidRPr="00B41FAC" w:rsidRDefault="00B41FAC" w:rsidP="00754431">
      <w:pPr>
        <w:spacing w:before="0" w:after="200" w:line="276" w:lineRule="auto"/>
        <w:ind w:left="0"/>
        <w:jc w:val="left"/>
        <w:rPr>
          <w:rFonts w:cs="Times New Roman"/>
          <w:szCs w:val="24"/>
          <w:lang w:eastAsia="en-US"/>
        </w:rPr>
      </w:pPr>
      <w:r w:rsidRPr="00B41FAC">
        <w:rPr>
          <w:rFonts w:cs="Times New Roman"/>
          <w:szCs w:val="24"/>
          <w:lang w:eastAsia="en-US"/>
        </w:rPr>
        <w:t xml:space="preserve">The Chief Constable actual expenditure in 2020/21 was £0.9m underspent against the original budget. There were </w:t>
      </w:r>
      <w:proofErr w:type="gramStart"/>
      <w:r w:rsidRPr="00B41FAC">
        <w:rPr>
          <w:rFonts w:cs="Times New Roman"/>
          <w:szCs w:val="24"/>
          <w:lang w:eastAsia="en-US"/>
        </w:rPr>
        <w:t>a number of</w:t>
      </w:r>
      <w:proofErr w:type="gramEnd"/>
      <w:r w:rsidRPr="00B41FAC">
        <w:rPr>
          <w:rFonts w:cs="Times New Roman"/>
          <w:szCs w:val="24"/>
          <w:lang w:eastAsia="en-US"/>
        </w:rPr>
        <w:t xml:space="preserve"> significant variances across the whole budget, both favourable and adverse which included the following: </w:t>
      </w:r>
    </w:p>
    <w:p w14:paraId="3D7EFB62" w14:textId="77777777" w:rsidR="00B41FAC" w:rsidRPr="00B41FAC" w:rsidRDefault="00B41FAC" w:rsidP="005065AA">
      <w:pPr>
        <w:tabs>
          <w:tab w:val="left" w:pos="284"/>
        </w:tabs>
        <w:spacing w:before="0" w:after="200" w:line="276" w:lineRule="auto"/>
        <w:ind w:left="0"/>
        <w:jc w:val="left"/>
        <w:rPr>
          <w:rFonts w:eastAsia="Times New Roman" w:cs="Times New Roman"/>
          <w:szCs w:val="24"/>
          <w:lang w:val="en-US" w:eastAsia="en-GB"/>
        </w:rPr>
      </w:pPr>
      <w:r w:rsidRPr="00B41FAC">
        <w:rPr>
          <w:rFonts w:eastAsia="Times New Roman" w:cs="Times New Roman"/>
          <w:szCs w:val="24"/>
          <w:lang w:val="en-US" w:eastAsia="en-GB"/>
        </w:rPr>
        <w:t>Underspends resulting from:</w:t>
      </w:r>
    </w:p>
    <w:p w14:paraId="4B7EAD0D" w14:textId="5074A18F" w:rsidR="00B41FAC" w:rsidRDefault="00B41FAC" w:rsidP="005065AA">
      <w:pPr>
        <w:pStyle w:val="ListParagraph"/>
        <w:numPr>
          <w:ilvl w:val="0"/>
          <w:numId w:val="48"/>
        </w:numPr>
        <w:ind w:left="709" w:hanging="425"/>
        <w:rPr>
          <w:rFonts w:eastAsia="Calibri" w:cs="Arial"/>
          <w:lang w:eastAsia="en-GB"/>
        </w:rPr>
      </w:pPr>
      <w:r w:rsidRPr="00135E27">
        <w:rPr>
          <w:rFonts w:eastAsia="Calibri" w:cs="Arial"/>
          <w:lang w:eastAsia="en-GB"/>
        </w:rPr>
        <w:t xml:space="preserve">Police led prosecution income £0.29m exceeding </w:t>
      </w:r>
      <w:proofErr w:type="gramStart"/>
      <w:r w:rsidRPr="00135E27">
        <w:rPr>
          <w:rFonts w:eastAsia="Calibri" w:cs="Arial"/>
          <w:lang w:eastAsia="en-GB"/>
        </w:rPr>
        <w:t>target;</w:t>
      </w:r>
      <w:proofErr w:type="gramEnd"/>
    </w:p>
    <w:p w14:paraId="2566CEE8" w14:textId="77777777" w:rsidR="00135E27" w:rsidRPr="00135E27" w:rsidRDefault="00135E27" w:rsidP="005065AA">
      <w:pPr>
        <w:pStyle w:val="ListParagraph"/>
        <w:tabs>
          <w:tab w:val="left" w:pos="284"/>
        </w:tabs>
        <w:ind w:left="709" w:hanging="425"/>
        <w:rPr>
          <w:rFonts w:eastAsia="Calibri" w:cs="Arial"/>
          <w:lang w:eastAsia="en-GB"/>
        </w:rPr>
      </w:pPr>
    </w:p>
    <w:p w14:paraId="7EA608B6" w14:textId="40408F07" w:rsidR="00135E27" w:rsidRDefault="00B41FAC" w:rsidP="005065AA">
      <w:pPr>
        <w:pStyle w:val="ListParagraph"/>
        <w:numPr>
          <w:ilvl w:val="0"/>
          <w:numId w:val="48"/>
        </w:numPr>
        <w:ind w:left="709" w:hanging="425"/>
        <w:rPr>
          <w:rFonts w:eastAsia="Calibri" w:cs="Arial"/>
          <w:lang w:eastAsia="en-GB"/>
        </w:rPr>
      </w:pPr>
      <w:r w:rsidRPr="00135E27">
        <w:rPr>
          <w:rFonts w:eastAsia="Calibri" w:cs="Arial"/>
          <w:lang w:eastAsia="en-GB"/>
        </w:rPr>
        <w:t>Monitored &amp; Managed budgets collectively underspent by £0.</w:t>
      </w:r>
      <w:proofErr w:type="gramStart"/>
      <w:r w:rsidRPr="00135E27">
        <w:rPr>
          <w:rFonts w:eastAsia="Calibri" w:cs="Arial"/>
          <w:lang w:eastAsia="en-GB"/>
        </w:rPr>
        <w:t>46m;</w:t>
      </w:r>
      <w:proofErr w:type="gramEnd"/>
    </w:p>
    <w:p w14:paraId="4EE53B5F" w14:textId="77777777" w:rsidR="00135E27" w:rsidRPr="00135E27" w:rsidRDefault="00135E27" w:rsidP="005065AA">
      <w:pPr>
        <w:pStyle w:val="ListParagraph"/>
        <w:ind w:left="709" w:hanging="425"/>
        <w:rPr>
          <w:rFonts w:eastAsia="Calibri" w:cs="Arial"/>
          <w:lang w:eastAsia="en-GB"/>
        </w:rPr>
      </w:pPr>
    </w:p>
    <w:p w14:paraId="602756BA" w14:textId="77777777" w:rsidR="00135E27" w:rsidRPr="00135E27" w:rsidRDefault="00135E27" w:rsidP="005065AA">
      <w:pPr>
        <w:pStyle w:val="ListParagraph"/>
        <w:numPr>
          <w:ilvl w:val="0"/>
          <w:numId w:val="48"/>
        </w:numPr>
        <w:ind w:left="709" w:hanging="425"/>
        <w:rPr>
          <w:rFonts w:eastAsia="Calibri" w:cs="Arial"/>
          <w:lang w:eastAsia="en-GB"/>
        </w:rPr>
      </w:pPr>
      <w:r w:rsidRPr="00135E27">
        <w:rPr>
          <w:rFonts w:eastAsia="Calibri" w:cs="Arial"/>
          <w:lang w:eastAsia="en-GB"/>
        </w:rPr>
        <w:t xml:space="preserve">Crime Command - £0.2m – underspends in relation to number of discretionary expenditure areas such as informants and </w:t>
      </w:r>
      <w:proofErr w:type="gramStart"/>
      <w:r w:rsidRPr="00135E27">
        <w:rPr>
          <w:rFonts w:eastAsia="Calibri" w:cs="Arial"/>
          <w:lang w:eastAsia="en-GB"/>
        </w:rPr>
        <w:t>consultants;</w:t>
      </w:r>
      <w:proofErr w:type="gramEnd"/>
      <w:r w:rsidRPr="00135E27">
        <w:rPr>
          <w:rFonts w:eastAsia="Calibri" w:cs="Arial"/>
          <w:lang w:eastAsia="en-GB"/>
        </w:rPr>
        <w:t xml:space="preserve">  </w:t>
      </w:r>
    </w:p>
    <w:p w14:paraId="07BBE8F9" w14:textId="77777777" w:rsidR="00135E27" w:rsidRPr="00135E27" w:rsidRDefault="00135E27" w:rsidP="005065AA">
      <w:pPr>
        <w:pStyle w:val="ListParagraph"/>
        <w:tabs>
          <w:tab w:val="left" w:pos="284"/>
        </w:tabs>
        <w:ind w:left="709" w:hanging="425"/>
        <w:rPr>
          <w:rFonts w:eastAsia="Calibri" w:cs="Arial"/>
          <w:lang w:eastAsia="en-GB"/>
        </w:rPr>
      </w:pPr>
    </w:p>
    <w:p w14:paraId="2B927EFD" w14:textId="77777777" w:rsidR="00B41FAC" w:rsidRPr="00135E27" w:rsidRDefault="00B41FAC" w:rsidP="005065AA">
      <w:pPr>
        <w:pStyle w:val="ListParagraph"/>
        <w:numPr>
          <w:ilvl w:val="0"/>
          <w:numId w:val="48"/>
        </w:numPr>
        <w:ind w:left="709" w:hanging="425"/>
        <w:rPr>
          <w:rFonts w:eastAsia="Calibri" w:cs="Arial"/>
          <w:lang w:eastAsia="en-GB"/>
        </w:rPr>
      </w:pPr>
      <w:r w:rsidRPr="00135E27">
        <w:rPr>
          <w:rFonts w:eastAsia="Calibri" w:cs="Arial"/>
          <w:lang w:eastAsia="en-GB"/>
        </w:rPr>
        <w:t>Regional Budget underspends of £0.18m.</w:t>
      </w:r>
    </w:p>
    <w:p w14:paraId="2E1E79DE" w14:textId="77777777" w:rsidR="00B41FAC" w:rsidRPr="00B41FAC" w:rsidRDefault="00B41FAC" w:rsidP="00135E27">
      <w:pPr>
        <w:tabs>
          <w:tab w:val="left" w:pos="284"/>
        </w:tabs>
        <w:ind w:left="284" w:hanging="425"/>
        <w:rPr>
          <w:rFonts w:eastAsia="Times New Roman" w:cs="Times New Roman"/>
          <w:szCs w:val="24"/>
          <w:lang w:eastAsia="en-GB"/>
        </w:rPr>
      </w:pPr>
      <w:r w:rsidRPr="00B41FAC">
        <w:rPr>
          <w:rFonts w:eastAsia="Times New Roman" w:cs="Times New Roman"/>
          <w:szCs w:val="24"/>
          <w:lang w:eastAsia="en-GB"/>
        </w:rPr>
        <w:t>Offset by overspends:</w:t>
      </w:r>
    </w:p>
    <w:p w14:paraId="62360ED7" w14:textId="14D652C5" w:rsidR="00B41FAC" w:rsidRDefault="00B41FAC" w:rsidP="005065AA">
      <w:pPr>
        <w:pStyle w:val="ListParagraph"/>
        <w:numPr>
          <w:ilvl w:val="0"/>
          <w:numId w:val="49"/>
        </w:numPr>
        <w:spacing w:before="160" w:after="160"/>
        <w:ind w:left="709" w:hanging="425"/>
        <w:rPr>
          <w:rFonts w:eastAsia="Calibri" w:cs="Arial"/>
          <w:lang w:eastAsia="en-US"/>
        </w:rPr>
      </w:pPr>
      <w:r w:rsidRPr="00135E27">
        <w:rPr>
          <w:rFonts w:eastAsia="Calibri" w:cs="Arial"/>
          <w:lang w:eastAsia="en-US"/>
        </w:rPr>
        <w:t xml:space="preserve">Police Officer Salaries - £0.3m – a combination of rank mix which saw a higher number of senior officers than budgeted and increased oncosts for pensions and </w:t>
      </w:r>
      <w:proofErr w:type="gramStart"/>
      <w:r w:rsidRPr="00135E27">
        <w:rPr>
          <w:rFonts w:eastAsia="Calibri" w:cs="Arial"/>
          <w:lang w:eastAsia="en-US"/>
        </w:rPr>
        <w:t>NI;</w:t>
      </w:r>
      <w:proofErr w:type="gramEnd"/>
    </w:p>
    <w:p w14:paraId="7D3209EF" w14:textId="77777777" w:rsidR="00135E27" w:rsidRPr="00135E27" w:rsidRDefault="00135E27" w:rsidP="005065AA">
      <w:pPr>
        <w:pStyle w:val="ListParagraph"/>
        <w:tabs>
          <w:tab w:val="left" w:pos="426"/>
        </w:tabs>
        <w:spacing w:before="160" w:after="160"/>
        <w:ind w:left="709" w:hanging="425"/>
        <w:rPr>
          <w:rFonts w:eastAsia="Calibri" w:cs="Arial"/>
          <w:lang w:eastAsia="en-US"/>
        </w:rPr>
      </w:pPr>
    </w:p>
    <w:p w14:paraId="2BDB1D9A" w14:textId="0E6548DB" w:rsidR="00135E27" w:rsidRDefault="00B41FAC" w:rsidP="005065AA">
      <w:pPr>
        <w:pStyle w:val="ListParagraph"/>
        <w:numPr>
          <w:ilvl w:val="0"/>
          <w:numId w:val="49"/>
        </w:numPr>
        <w:spacing w:before="160" w:after="160"/>
        <w:ind w:left="709" w:hanging="425"/>
        <w:rPr>
          <w:rFonts w:eastAsia="Calibri" w:cs="Arial"/>
          <w:lang w:eastAsia="en-US"/>
        </w:rPr>
      </w:pPr>
      <w:r w:rsidRPr="00135E27">
        <w:rPr>
          <w:rFonts w:eastAsia="Calibri" w:cs="Arial"/>
          <w:lang w:eastAsia="en-US"/>
        </w:rPr>
        <w:t xml:space="preserve">Major incidents - £0.22m – the vast majority of which was in relation to the costs related to the COVID-19 </w:t>
      </w:r>
      <w:proofErr w:type="gramStart"/>
      <w:r w:rsidRPr="00135E27">
        <w:rPr>
          <w:rFonts w:eastAsia="Calibri" w:cs="Arial"/>
          <w:lang w:eastAsia="en-US"/>
        </w:rPr>
        <w:t>pandemic;</w:t>
      </w:r>
      <w:proofErr w:type="gramEnd"/>
    </w:p>
    <w:p w14:paraId="0978B322" w14:textId="77777777" w:rsidR="00135E27" w:rsidRPr="00135E27" w:rsidRDefault="00135E27" w:rsidP="005065AA">
      <w:pPr>
        <w:pStyle w:val="ListParagraph"/>
        <w:ind w:left="709" w:hanging="425"/>
        <w:rPr>
          <w:rFonts w:eastAsia="Calibri" w:cs="Arial"/>
          <w:lang w:eastAsia="en-US"/>
        </w:rPr>
      </w:pPr>
    </w:p>
    <w:p w14:paraId="6D93E9F5" w14:textId="77777777" w:rsidR="00135E27" w:rsidRPr="00135E27" w:rsidRDefault="00135E27" w:rsidP="005065AA">
      <w:pPr>
        <w:pStyle w:val="ListParagraph"/>
        <w:numPr>
          <w:ilvl w:val="0"/>
          <w:numId w:val="49"/>
        </w:numPr>
        <w:spacing w:before="160" w:after="160"/>
        <w:ind w:left="709" w:hanging="425"/>
        <w:rPr>
          <w:rFonts w:eastAsia="Calibri" w:cs="Arial"/>
          <w:lang w:eastAsia="en-US"/>
        </w:rPr>
      </w:pPr>
      <w:r w:rsidRPr="00135E27">
        <w:rPr>
          <w:rFonts w:eastAsia="Calibri" w:cs="Arial"/>
          <w:lang w:eastAsia="en-US"/>
        </w:rPr>
        <w:t xml:space="preserve">Local Police East and West - £0.32m in relation to police officer </w:t>
      </w:r>
      <w:proofErr w:type="gramStart"/>
      <w:r w:rsidRPr="00135E27">
        <w:rPr>
          <w:rFonts w:eastAsia="Calibri" w:cs="Arial"/>
          <w:lang w:eastAsia="en-US"/>
        </w:rPr>
        <w:t>overtime;</w:t>
      </w:r>
      <w:proofErr w:type="gramEnd"/>
    </w:p>
    <w:p w14:paraId="5EA8B6C6" w14:textId="77777777" w:rsidR="00135E27" w:rsidRPr="00135E27" w:rsidRDefault="00135E27" w:rsidP="005065AA">
      <w:pPr>
        <w:pStyle w:val="ListParagraph"/>
        <w:tabs>
          <w:tab w:val="left" w:pos="426"/>
        </w:tabs>
        <w:spacing w:before="160" w:after="160"/>
        <w:ind w:left="709" w:hanging="425"/>
        <w:rPr>
          <w:rFonts w:eastAsia="Calibri" w:cs="Arial"/>
          <w:lang w:eastAsia="en-US"/>
        </w:rPr>
      </w:pPr>
    </w:p>
    <w:p w14:paraId="2000D879" w14:textId="77777777" w:rsidR="00B41FAC" w:rsidRPr="00135E27" w:rsidRDefault="00B41FAC" w:rsidP="005065AA">
      <w:pPr>
        <w:pStyle w:val="ListParagraph"/>
        <w:numPr>
          <w:ilvl w:val="0"/>
          <w:numId w:val="49"/>
        </w:numPr>
        <w:spacing w:before="160" w:after="160"/>
        <w:ind w:left="709" w:hanging="425"/>
        <w:rPr>
          <w:rFonts w:eastAsia="Calibri" w:cs="Arial"/>
          <w:lang w:eastAsia="en-US"/>
        </w:rPr>
      </w:pPr>
      <w:r w:rsidRPr="00135E27">
        <w:rPr>
          <w:rFonts w:eastAsia="Calibri" w:cs="Arial"/>
          <w:lang w:eastAsia="en-US"/>
        </w:rPr>
        <w:t>National Contributions and Central Costs - £0.33m.</w:t>
      </w:r>
    </w:p>
    <w:p w14:paraId="5B7D59DF" w14:textId="77777777" w:rsidR="00B41FAC" w:rsidRPr="00B41FAC" w:rsidRDefault="00B41FAC" w:rsidP="00B41FAC">
      <w:pPr>
        <w:ind w:left="0"/>
        <w:rPr>
          <w:rFonts w:cs="Times New Roman"/>
          <w:szCs w:val="24"/>
          <w:lang w:eastAsia="en-US"/>
        </w:rPr>
      </w:pPr>
      <w:r w:rsidRPr="00B41FAC">
        <w:rPr>
          <w:rFonts w:cs="Times New Roman"/>
          <w:szCs w:val="24"/>
          <w:lang w:eastAsia="en-US"/>
        </w:rPr>
        <w:t xml:space="preserve">In addition to the delegated budgets shown above, costs of £22.8m were incurred with the strategic partner G4S during 2020/21. These costs have not been included in the Chief Constable’s statements for the reasons described above. </w:t>
      </w:r>
    </w:p>
    <w:p w14:paraId="72ED9786" w14:textId="77777777" w:rsidR="00B41FAC" w:rsidRPr="00B41FAC" w:rsidRDefault="00B41FAC" w:rsidP="00B41FAC">
      <w:pPr>
        <w:ind w:left="0"/>
        <w:rPr>
          <w:rFonts w:cs="Times New Roman"/>
          <w:szCs w:val="24"/>
          <w:lang w:eastAsia="en-US"/>
        </w:rPr>
      </w:pPr>
      <w:r w:rsidRPr="00B41FAC">
        <w:rPr>
          <w:rFonts w:cs="Times New Roman"/>
          <w:szCs w:val="24"/>
          <w:lang w:eastAsia="en-US"/>
        </w:rPr>
        <w:t xml:space="preserve">These consisted of £10.3m in respect of operational policing functions for Town Enquiry Officers, Force Control Room, Crime Management Bureau, Custody, Criminal Justice Unit, and Firearms Licensing. </w:t>
      </w:r>
    </w:p>
    <w:p w14:paraId="1FDAF5E1" w14:textId="77777777" w:rsidR="00B41FAC" w:rsidRPr="00B41FAC" w:rsidRDefault="00B41FAC" w:rsidP="00B41FAC">
      <w:pPr>
        <w:ind w:left="0"/>
        <w:rPr>
          <w:rFonts w:cs="Times New Roman"/>
          <w:szCs w:val="24"/>
          <w:lang w:eastAsia="en-US"/>
        </w:rPr>
      </w:pPr>
      <w:r w:rsidRPr="00B41FAC">
        <w:rPr>
          <w:rFonts w:cs="Times New Roman"/>
          <w:szCs w:val="24"/>
          <w:lang w:eastAsia="en-US"/>
        </w:rPr>
        <w:t xml:space="preserve">The remaining £12.5m relates to support functions such as HR, Learning and Development, Finance, ICT and Facilities Management, of which a substantial part is in respect of service provision to the Chief Constable. </w:t>
      </w:r>
    </w:p>
    <w:p w14:paraId="2E177881" w14:textId="77777777" w:rsidR="00B41FAC" w:rsidRPr="00B41FAC" w:rsidRDefault="00B41FAC" w:rsidP="00B41FAC">
      <w:pPr>
        <w:keepNext/>
        <w:tabs>
          <w:tab w:val="left" w:pos="284"/>
          <w:tab w:val="left" w:pos="851"/>
        </w:tabs>
        <w:spacing w:before="0" w:after="0"/>
        <w:ind w:left="0"/>
        <w:jc w:val="left"/>
        <w:outlineLvl w:val="8"/>
        <w:rPr>
          <w:rFonts w:eastAsia="MS Mincho" w:cs="Arial"/>
          <w:b/>
        </w:rPr>
      </w:pPr>
      <w:r w:rsidRPr="00B41FAC">
        <w:rPr>
          <w:rFonts w:eastAsia="MS Mincho" w:cs="Arial"/>
          <w:b/>
        </w:rPr>
        <w:lastRenderedPageBreak/>
        <w:t>Capital Expenditure</w:t>
      </w:r>
    </w:p>
    <w:p w14:paraId="5576B671" w14:textId="77777777" w:rsidR="00B41FAC" w:rsidRPr="00B41FAC" w:rsidRDefault="00B41FAC" w:rsidP="00B41FAC">
      <w:pPr>
        <w:ind w:left="0"/>
        <w:rPr>
          <w:rFonts w:cs="Times New Roman"/>
          <w:szCs w:val="24"/>
          <w:lang w:eastAsia="en-US"/>
        </w:rPr>
      </w:pPr>
      <w:r w:rsidRPr="00B41FAC">
        <w:rPr>
          <w:rFonts w:cs="Times New Roman"/>
          <w:szCs w:val="24"/>
          <w:lang w:eastAsia="en-US"/>
        </w:rPr>
        <w:t xml:space="preserve">Capital expenditure is undertaken by the PCC as the Chief Constable does not hold any assets. Information relating to assets held and capital expenditure incurred during the year, together with the historical debt position, is included within the PCC accounts. The Chief Constable uses the assets held by the PCC for operational policing. </w:t>
      </w:r>
    </w:p>
    <w:p w14:paraId="4641F520" w14:textId="41A131B5" w:rsidR="00B41FAC" w:rsidRPr="00B41FAC" w:rsidRDefault="00B41FAC" w:rsidP="00B41FAC">
      <w:pPr>
        <w:ind w:left="0"/>
        <w:rPr>
          <w:rFonts w:cs="Times New Roman"/>
          <w:szCs w:val="24"/>
          <w:lang w:eastAsia="en-US"/>
        </w:rPr>
      </w:pPr>
      <w:proofErr w:type="gramStart"/>
      <w:r w:rsidRPr="00B41FAC">
        <w:rPr>
          <w:rFonts w:cs="Times New Roman"/>
          <w:szCs w:val="24"/>
          <w:lang w:eastAsia="en-US"/>
        </w:rPr>
        <w:t>In order to</w:t>
      </w:r>
      <w:proofErr w:type="gramEnd"/>
      <w:r w:rsidRPr="00B41FAC">
        <w:rPr>
          <w:rFonts w:cs="Times New Roman"/>
          <w:szCs w:val="24"/>
          <w:lang w:eastAsia="en-US"/>
        </w:rPr>
        <w:t xml:space="preserve"> provide the assets (buildings, vehicles and equipment) required for operational use by the Chief Constable, the PCC spent £6.2m in 202</w:t>
      </w:r>
      <w:r w:rsidR="00B47429">
        <w:rPr>
          <w:rFonts w:cs="Times New Roman"/>
          <w:szCs w:val="24"/>
          <w:lang w:eastAsia="en-US"/>
        </w:rPr>
        <w:t>0/</w:t>
      </w:r>
      <w:r w:rsidRPr="00B41FAC">
        <w:rPr>
          <w:rFonts w:cs="Times New Roman"/>
          <w:szCs w:val="24"/>
          <w:lang w:eastAsia="en-US"/>
        </w:rPr>
        <w:t>2</w:t>
      </w:r>
      <w:r w:rsidR="00B47429">
        <w:rPr>
          <w:rFonts w:cs="Times New Roman"/>
          <w:szCs w:val="24"/>
          <w:lang w:eastAsia="en-US"/>
        </w:rPr>
        <w:t>1</w:t>
      </w:r>
      <w:r w:rsidRPr="00B41FAC">
        <w:rPr>
          <w:rFonts w:cs="Times New Roman"/>
          <w:szCs w:val="24"/>
          <w:lang w:eastAsia="en-US"/>
        </w:rPr>
        <w:t xml:space="preserve"> which included:</w:t>
      </w:r>
    </w:p>
    <w:p w14:paraId="6B65B1ED" w14:textId="36D7E3C4" w:rsidR="00B41FAC" w:rsidRDefault="00B41FAC" w:rsidP="005065AA">
      <w:pPr>
        <w:pStyle w:val="ListParagraph"/>
        <w:numPr>
          <w:ilvl w:val="0"/>
          <w:numId w:val="50"/>
        </w:numPr>
        <w:spacing w:before="160" w:after="160"/>
        <w:ind w:left="709" w:hanging="425"/>
        <w:rPr>
          <w:rFonts w:eastAsia="Calibri" w:cs="Arial"/>
          <w:lang w:eastAsia="en-US"/>
        </w:rPr>
      </w:pPr>
      <w:r w:rsidRPr="00135E27">
        <w:rPr>
          <w:rFonts w:eastAsia="Calibri" w:cs="Arial"/>
          <w:lang w:eastAsia="en-US"/>
        </w:rPr>
        <w:t xml:space="preserve">£2.1m investment in the East Coast Training </w:t>
      </w:r>
      <w:proofErr w:type="gramStart"/>
      <w:r w:rsidRPr="00135E27">
        <w:rPr>
          <w:rFonts w:eastAsia="Calibri" w:cs="Arial"/>
          <w:lang w:eastAsia="en-US"/>
        </w:rPr>
        <w:t>Facility;</w:t>
      </w:r>
      <w:proofErr w:type="gramEnd"/>
    </w:p>
    <w:p w14:paraId="1349A1F5" w14:textId="77777777" w:rsidR="00135E27" w:rsidRPr="00135E27" w:rsidRDefault="00135E27" w:rsidP="005065AA">
      <w:pPr>
        <w:pStyle w:val="ListParagraph"/>
        <w:spacing w:before="160" w:after="160"/>
        <w:ind w:left="709" w:hanging="425"/>
        <w:rPr>
          <w:rFonts w:eastAsia="Calibri" w:cs="Arial"/>
          <w:lang w:eastAsia="en-US"/>
        </w:rPr>
      </w:pPr>
    </w:p>
    <w:p w14:paraId="75272110" w14:textId="1659A38C" w:rsidR="00135E27" w:rsidRDefault="00B41FAC" w:rsidP="005065AA">
      <w:pPr>
        <w:pStyle w:val="ListParagraph"/>
        <w:numPr>
          <w:ilvl w:val="0"/>
          <w:numId w:val="50"/>
        </w:numPr>
        <w:spacing w:before="160" w:after="160"/>
        <w:ind w:left="709" w:hanging="425"/>
        <w:rPr>
          <w:rFonts w:eastAsia="Calibri" w:cs="Arial"/>
          <w:lang w:eastAsia="en-US"/>
        </w:rPr>
      </w:pPr>
      <w:r w:rsidRPr="00135E27">
        <w:rPr>
          <w:rFonts w:eastAsia="Calibri" w:cs="Arial"/>
          <w:lang w:eastAsia="en-US"/>
        </w:rPr>
        <w:t xml:space="preserve">£2.0m </w:t>
      </w:r>
      <w:proofErr w:type="gramStart"/>
      <w:r w:rsidRPr="00135E27">
        <w:rPr>
          <w:rFonts w:eastAsia="Calibri" w:cs="Arial"/>
          <w:lang w:eastAsia="en-US"/>
        </w:rPr>
        <w:t>Vehicles</w:t>
      </w:r>
      <w:r w:rsidR="00135E27">
        <w:rPr>
          <w:rFonts w:eastAsia="Calibri" w:cs="Arial"/>
          <w:lang w:eastAsia="en-US"/>
        </w:rPr>
        <w:t>;</w:t>
      </w:r>
      <w:proofErr w:type="gramEnd"/>
    </w:p>
    <w:p w14:paraId="376E4AE2" w14:textId="77777777" w:rsidR="00135E27" w:rsidRPr="00135E27" w:rsidRDefault="00135E27" w:rsidP="005065AA">
      <w:pPr>
        <w:pStyle w:val="ListParagraph"/>
        <w:ind w:left="709" w:hanging="425"/>
        <w:rPr>
          <w:rFonts w:eastAsia="Calibri" w:cs="Arial"/>
          <w:lang w:eastAsia="en-US"/>
        </w:rPr>
      </w:pPr>
    </w:p>
    <w:p w14:paraId="0F80672A" w14:textId="77777777" w:rsidR="00135E27" w:rsidRPr="00135E27" w:rsidRDefault="00135E27" w:rsidP="005065AA">
      <w:pPr>
        <w:pStyle w:val="ListParagraph"/>
        <w:numPr>
          <w:ilvl w:val="0"/>
          <w:numId w:val="50"/>
        </w:numPr>
        <w:spacing w:before="160" w:after="160"/>
        <w:ind w:left="709" w:hanging="425"/>
        <w:rPr>
          <w:rFonts w:eastAsia="Calibri" w:cs="Arial"/>
          <w:lang w:eastAsia="en-US"/>
        </w:rPr>
      </w:pPr>
      <w:r w:rsidRPr="00135E27">
        <w:rPr>
          <w:rFonts w:eastAsia="Calibri" w:cs="Arial"/>
          <w:lang w:eastAsia="en-US"/>
        </w:rPr>
        <w:t>£0.8m other building schemes.</w:t>
      </w:r>
    </w:p>
    <w:p w14:paraId="19EA42D2" w14:textId="017AA344" w:rsidR="00B41FAC" w:rsidRPr="00B41FAC" w:rsidRDefault="00B41FAC" w:rsidP="00754431">
      <w:pPr>
        <w:spacing w:before="0" w:after="200" w:line="276" w:lineRule="auto"/>
        <w:ind w:left="0"/>
        <w:jc w:val="left"/>
        <w:rPr>
          <w:rFonts w:eastAsia="Times New Roman" w:cs="Times New Roman"/>
          <w:szCs w:val="24"/>
          <w:lang w:eastAsia="en-GB"/>
        </w:rPr>
      </w:pPr>
      <w:r w:rsidRPr="00B41FAC">
        <w:rPr>
          <w:rFonts w:eastAsia="Times New Roman" w:cs="Times New Roman"/>
          <w:szCs w:val="24"/>
          <w:lang w:eastAsia="en-GB"/>
        </w:rPr>
        <w:t>The PCC has approved a capital programme of £5.654m for 202</w:t>
      </w:r>
      <w:r w:rsidR="00375D77">
        <w:rPr>
          <w:rFonts w:eastAsia="Times New Roman" w:cs="Times New Roman"/>
          <w:szCs w:val="24"/>
          <w:lang w:eastAsia="en-GB"/>
        </w:rPr>
        <w:t>1</w:t>
      </w:r>
      <w:r w:rsidRPr="00B41FAC">
        <w:rPr>
          <w:rFonts w:eastAsia="Times New Roman" w:cs="Times New Roman"/>
          <w:szCs w:val="24"/>
          <w:lang w:eastAsia="en-GB"/>
        </w:rPr>
        <w:t>/2</w:t>
      </w:r>
      <w:r w:rsidR="00375D77">
        <w:rPr>
          <w:rFonts w:eastAsia="Times New Roman" w:cs="Times New Roman"/>
          <w:szCs w:val="24"/>
          <w:lang w:eastAsia="en-GB"/>
        </w:rPr>
        <w:t>2</w:t>
      </w:r>
      <w:r w:rsidRPr="00B41FAC">
        <w:rPr>
          <w:rFonts w:eastAsia="Times New Roman" w:cs="Times New Roman"/>
          <w:szCs w:val="24"/>
          <w:lang w:eastAsia="en-GB"/>
        </w:rPr>
        <w:t>, and includes:</w:t>
      </w:r>
    </w:p>
    <w:p w14:paraId="4B123832" w14:textId="7E43ADD8" w:rsidR="00B41FAC" w:rsidRDefault="00B41FAC" w:rsidP="005065AA">
      <w:pPr>
        <w:pStyle w:val="ListParagraph"/>
        <w:numPr>
          <w:ilvl w:val="0"/>
          <w:numId w:val="51"/>
        </w:numPr>
        <w:tabs>
          <w:tab w:val="left" w:pos="284"/>
        </w:tabs>
        <w:ind w:left="709" w:hanging="425"/>
        <w:rPr>
          <w:rFonts w:eastAsia="Calibri" w:cs="Arial"/>
          <w:lang w:eastAsia="en-GB"/>
        </w:rPr>
      </w:pPr>
      <w:r w:rsidRPr="00135E27">
        <w:rPr>
          <w:rFonts w:eastAsia="Calibri" w:cs="Arial"/>
          <w:lang w:eastAsia="en-GB"/>
        </w:rPr>
        <w:t xml:space="preserve">£1.7m investment in new Command &amp; Control </w:t>
      </w:r>
      <w:proofErr w:type="gramStart"/>
      <w:r w:rsidRPr="00135E27">
        <w:rPr>
          <w:rFonts w:eastAsia="Calibri" w:cs="Arial"/>
          <w:lang w:eastAsia="en-GB"/>
        </w:rPr>
        <w:t>system;</w:t>
      </w:r>
      <w:proofErr w:type="gramEnd"/>
    </w:p>
    <w:p w14:paraId="05712D7C" w14:textId="77777777" w:rsidR="00135E27" w:rsidRPr="00135E27" w:rsidRDefault="00135E27" w:rsidP="005065AA">
      <w:pPr>
        <w:pStyle w:val="ListParagraph"/>
        <w:tabs>
          <w:tab w:val="left" w:pos="284"/>
        </w:tabs>
        <w:ind w:left="709" w:hanging="425"/>
        <w:rPr>
          <w:rFonts w:eastAsia="Calibri" w:cs="Arial"/>
          <w:lang w:eastAsia="en-GB"/>
        </w:rPr>
      </w:pPr>
    </w:p>
    <w:p w14:paraId="1502C210" w14:textId="61EAA4D1" w:rsidR="00B41FAC" w:rsidRDefault="00B41FAC" w:rsidP="005065AA">
      <w:pPr>
        <w:pStyle w:val="ListParagraph"/>
        <w:numPr>
          <w:ilvl w:val="0"/>
          <w:numId w:val="51"/>
        </w:numPr>
        <w:tabs>
          <w:tab w:val="left" w:pos="284"/>
        </w:tabs>
        <w:ind w:left="709" w:hanging="425"/>
        <w:rPr>
          <w:rFonts w:eastAsia="Calibri" w:cs="Arial"/>
          <w:lang w:eastAsia="en-GB"/>
        </w:rPr>
      </w:pPr>
      <w:r w:rsidRPr="00135E27">
        <w:rPr>
          <w:rFonts w:eastAsia="Calibri" w:cs="Arial"/>
          <w:lang w:eastAsia="en-GB"/>
        </w:rPr>
        <w:t xml:space="preserve">£1.5m investment in the Force estate improvements and </w:t>
      </w:r>
      <w:proofErr w:type="gramStart"/>
      <w:r w:rsidRPr="00135E27">
        <w:rPr>
          <w:rFonts w:eastAsia="Calibri" w:cs="Arial"/>
          <w:lang w:eastAsia="en-GB"/>
        </w:rPr>
        <w:t>maintenance;</w:t>
      </w:r>
      <w:proofErr w:type="gramEnd"/>
    </w:p>
    <w:p w14:paraId="05618047" w14:textId="77777777" w:rsidR="00135E27" w:rsidRPr="00135E27" w:rsidRDefault="00135E27" w:rsidP="005065AA">
      <w:pPr>
        <w:pStyle w:val="ListParagraph"/>
        <w:ind w:left="709" w:hanging="425"/>
        <w:rPr>
          <w:rFonts w:eastAsia="Calibri" w:cs="Arial"/>
          <w:lang w:eastAsia="en-GB"/>
        </w:rPr>
      </w:pPr>
    </w:p>
    <w:p w14:paraId="25DBA8DF" w14:textId="0ED436B6" w:rsidR="00B41FAC" w:rsidRPr="00135E27" w:rsidRDefault="00B41FAC" w:rsidP="005065AA">
      <w:pPr>
        <w:pStyle w:val="ListParagraph"/>
        <w:numPr>
          <w:ilvl w:val="0"/>
          <w:numId w:val="51"/>
        </w:numPr>
        <w:tabs>
          <w:tab w:val="left" w:pos="284"/>
        </w:tabs>
        <w:ind w:left="709" w:hanging="425"/>
        <w:rPr>
          <w:rFonts w:eastAsia="Calibri" w:cs="Arial"/>
          <w:lang w:eastAsia="en-GB"/>
        </w:rPr>
      </w:pPr>
      <w:r w:rsidRPr="00135E27">
        <w:rPr>
          <w:rFonts w:eastAsia="Calibri" w:cs="Arial"/>
          <w:lang w:eastAsia="en-GB"/>
        </w:rPr>
        <w:t>£1.2m replacement programme for vehicles</w:t>
      </w:r>
      <w:r w:rsidR="00135E27">
        <w:rPr>
          <w:rFonts w:eastAsia="Calibri" w:cs="Arial"/>
          <w:lang w:eastAsia="en-GB"/>
        </w:rPr>
        <w:t>.</w:t>
      </w:r>
    </w:p>
    <w:p w14:paraId="76EA2A4E" w14:textId="77777777" w:rsidR="00B41FAC" w:rsidRPr="00B41FAC" w:rsidRDefault="00B41FAC" w:rsidP="00B41FAC">
      <w:pPr>
        <w:keepNext/>
        <w:tabs>
          <w:tab w:val="left" w:pos="284"/>
          <w:tab w:val="left" w:pos="851"/>
        </w:tabs>
        <w:spacing w:before="0" w:after="0"/>
        <w:ind w:left="0"/>
        <w:jc w:val="left"/>
        <w:outlineLvl w:val="8"/>
        <w:rPr>
          <w:rFonts w:eastAsia="MS Mincho" w:cs="Arial"/>
          <w:b/>
          <w:color w:val="FF0000"/>
        </w:rPr>
      </w:pPr>
      <w:r w:rsidRPr="00B41FAC">
        <w:rPr>
          <w:rFonts w:eastAsia="MS Mincho" w:cs="Arial"/>
          <w:b/>
        </w:rPr>
        <w:t>Reserves</w:t>
      </w:r>
    </w:p>
    <w:p w14:paraId="1065F47D" w14:textId="77777777" w:rsidR="00B41FAC" w:rsidRPr="00B41FAC" w:rsidRDefault="00B41FAC" w:rsidP="00B41FAC">
      <w:pPr>
        <w:tabs>
          <w:tab w:val="left" w:pos="284"/>
        </w:tabs>
        <w:ind w:left="0"/>
        <w:rPr>
          <w:rFonts w:eastAsia="Times New Roman" w:cs="Times New Roman"/>
          <w:szCs w:val="24"/>
          <w:lang w:eastAsia="en-US"/>
        </w:rPr>
      </w:pPr>
      <w:r w:rsidRPr="00B41FAC">
        <w:rPr>
          <w:rFonts w:eastAsia="Times New Roman" w:cs="Times New Roman"/>
          <w:szCs w:val="24"/>
          <w:lang w:eastAsia="en-US"/>
        </w:rPr>
        <w:t xml:space="preserve">All reserves are held by the PCC; however, a number of these reserves are held to manage operational risks within the Chief Constable’s budget. </w:t>
      </w:r>
    </w:p>
    <w:p w14:paraId="32612685" w14:textId="61ECCD47" w:rsidR="00B41FAC" w:rsidRPr="00B41FAC" w:rsidRDefault="00B41FAC" w:rsidP="00B41FAC">
      <w:pPr>
        <w:tabs>
          <w:tab w:val="left" w:pos="284"/>
        </w:tabs>
        <w:ind w:left="0"/>
        <w:rPr>
          <w:rFonts w:eastAsia="Times New Roman" w:cs="Times New Roman"/>
          <w:szCs w:val="24"/>
          <w:lang w:eastAsia="en-US"/>
        </w:rPr>
      </w:pPr>
      <w:r w:rsidRPr="00B41FAC">
        <w:rPr>
          <w:rFonts w:eastAsia="Times New Roman" w:cs="Times New Roman"/>
          <w:szCs w:val="24"/>
          <w:lang w:eastAsia="en-US"/>
        </w:rPr>
        <w:t xml:space="preserve">Earmarked reserves as </w:t>
      </w:r>
      <w:proofErr w:type="gramStart"/>
      <w:r w:rsidRPr="00B41FAC">
        <w:rPr>
          <w:rFonts w:eastAsia="Times New Roman" w:cs="Times New Roman"/>
          <w:szCs w:val="24"/>
          <w:lang w:eastAsia="en-US"/>
        </w:rPr>
        <w:t>at</w:t>
      </w:r>
      <w:proofErr w:type="gramEnd"/>
      <w:r w:rsidRPr="00B41FAC">
        <w:rPr>
          <w:rFonts w:eastAsia="Times New Roman" w:cs="Times New Roman"/>
          <w:szCs w:val="24"/>
          <w:lang w:eastAsia="en-US"/>
        </w:rPr>
        <w:t xml:space="preserve"> 31 March 2021 total £14.3m (including regional reserves) and are held for specific expenditure or contingencies. Movements in Earmarked Reserves are detailed in Note </w:t>
      </w:r>
      <w:r w:rsidR="00C27D4E">
        <w:rPr>
          <w:rFonts w:eastAsia="Times New Roman" w:cs="Times New Roman"/>
          <w:szCs w:val="24"/>
          <w:lang w:eastAsia="en-US"/>
        </w:rPr>
        <w:t>8</w:t>
      </w:r>
      <w:r w:rsidR="005E5A43">
        <w:rPr>
          <w:rFonts w:eastAsia="Times New Roman" w:cs="Times New Roman"/>
          <w:szCs w:val="24"/>
          <w:lang w:eastAsia="en-US"/>
        </w:rPr>
        <w:t xml:space="preserve"> in the PCC’s financial statements</w:t>
      </w:r>
      <w:r w:rsidRPr="00B41FAC">
        <w:rPr>
          <w:rFonts w:eastAsia="Times New Roman" w:cs="Times New Roman"/>
          <w:szCs w:val="24"/>
          <w:lang w:eastAsia="en-US"/>
        </w:rPr>
        <w:t>.</w:t>
      </w:r>
    </w:p>
    <w:p w14:paraId="540F7E41" w14:textId="77777777" w:rsidR="00B41FAC" w:rsidRPr="00B41FAC" w:rsidRDefault="00B41FAC" w:rsidP="00B41FAC">
      <w:pPr>
        <w:tabs>
          <w:tab w:val="left" w:pos="284"/>
        </w:tabs>
        <w:ind w:left="0"/>
        <w:rPr>
          <w:rFonts w:cs="Times New Roman"/>
          <w:szCs w:val="24"/>
          <w:lang w:eastAsia="en-US"/>
        </w:rPr>
      </w:pPr>
      <w:r w:rsidRPr="00B41FAC">
        <w:rPr>
          <w:rFonts w:cs="Times New Roman"/>
          <w:szCs w:val="24"/>
          <w:lang w:eastAsia="en-US"/>
        </w:rPr>
        <w:t xml:space="preserve">As </w:t>
      </w:r>
      <w:proofErr w:type="gramStart"/>
      <w:r w:rsidRPr="00B41FAC">
        <w:rPr>
          <w:rFonts w:cs="Times New Roman"/>
          <w:szCs w:val="24"/>
          <w:lang w:eastAsia="en-US"/>
        </w:rPr>
        <w:t>at</w:t>
      </w:r>
      <w:proofErr w:type="gramEnd"/>
      <w:r w:rsidRPr="00B41FAC">
        <w:rPr>
          <w:rFonts w:cs="Times New Roman"/>
          <w:szCs w:val="24"/>
          <w:lang w:eastAsia="en-US"/>
        </w:rPr>
        <w:t xml:space="preserve"> 31 March 2021 the PCC held a General Reserve of £6.0m. There are currently no plans to utilise the reserves to support the revenue budget. </w:t>
      </w:r>
    </w:p>
    <w:p w14:paraId="716B5775" w14:textId="77777777" w:rsidR="00B41FAC" w:rsidRPr="00B41FAC" w:rsidRDefault="00B41FAC" w:rsidP="00B41FAC">
      <w:pPr>
        <w:tabs>
          <w:tab w:val="left" w:pos="284"/>
        </w:tabs>
        <w:ind w:left="0"/>
        <w:rPr>
          <w:rFonts w:eastAsia="Times New Roman" w:cs="Times New Roman"/>
          <w:szCs w:val="24"/>
          <w:lang w:eastAsia="en-GB"/>
        </w:rPr>
      </w:pPr>
      <w:r w:rsidRPr="00B41FAC">
        <w:rPr>
          <w:rFonts w:eastAsia="Times New Roman" w:cs="Times New Roman"/>
          <w:szCs w:val="24"/>
          <w:lang w:eastAsia="en-US"/>
        </w:rPr>
        <w:t xml:space="preserve">An assessment in February 2021 indicated the range of required risk-based reserves at £6.1m - £13.3m.  </w:t>
      </w:r>
      <w:r w:rsidRPr="00B41FAC">
        <w:rPr>
          <w:rFonts w:eastAsia="Times New Roman" w:cs="Times New Roman"/>
          <w:szCs w:val="24"/>
          <w:lang w:eastAsia="en-GB"/>
        </w:rPr>
        <w:t xml:space="preserve">Since 2018/19 the Financial Strategy has required that ‘general risk-based reserves be maintained at the minimum point of a target range’; prior to 2018/19, the requirement had been to maintain risk-based reserves at the mid-point of a target range.  The decision in 2018/19, to increase the level of financial risk being carried by the PCC, was made </w:t>
      </w:r>
      <w:proofErr w:type="gramStart"/>
      <w:r w:rsidRPr="00B41FAC">
        <w:rPr>
          <w:rFonts w:eastAsia="Times New Roman" w:cs="Times New Roman"/>
          <w:szCs w:val="24"/>
          <w:lang w:eastAsia="en-GB"/>
        </w:rPr>
        <w:t>so as to</w:t>
      </w:r>
      <w:proofErr w:type="gramEnd"/>
      <w:r w:rsidRPr="00B41FAC">
        <w:rPr>
          <w:rFonts w:eastAsia="Times New Roman" w:cs="Times New Roman"/>
          <w:szCs w:val="24"/>
          <w:lang w:eastAsia="en-GB"/>
        </w:rPr>
        <w:t xml:space="preserve"> mitigate the level of operational risk at the time, albeit that the funding thus released provided only non-recurrent mitigation.  In 2019, the introduction of the national police uplift programme has provided recurrent resources to mitigate operational risk.  As a result, it is proposed that the risk-based reserves policy revert to the mid-point of the target range (£9.7m).</w:t>
      </w:r>
    </w:p>
    <w:p w14:paraId="3E070729" w14:textId="2974CDFF" w:rsidR="00B41FAC" w:rsidRPr="00B41FAC" w:rsidRDefault="00B41FAC" w:rsidP="00B41FAC">
      <w:pPr>
        <w:tabs>
          <w:tab w:val="left" w:pos="284"/>
        </w:tabs>
        <w:ind w:left="0"/>
        <w:rPr>
          <w:rFonts w:eastAsia="Times New Roman" w:cs="Times New Roman"/>
          <w:szCs w:val="24"/>
          <w:lang w:eastAsia="en-US"/>
        </w:rPr>
      </w:pPr>
      <w:r w:rsidRPr="00B41FAC">
        <w:rPr>
          <w:rFonts w:eastAsia="Times New Roman" w:cs="Times New Roman"/>
          <w:szCs w:val="24"/>
          <w:lang w:eastAsia="en-GB"/>
        </w:rPr>
        <w:t xml:space="preserve">Following </w:t>
      </w:r>
      <w:r w:rsidR="00245445">
        <w:rPr>
          <w:rFonts w:eastAsia="Times New Roman" w:cs="Times New Roman"/>
          <w:szCs w:val="24"/>
          <w:lang w:eastAsia="en-GB"/>
        </w:rPr>
        <w:t>a</w:t>
      </w:r>
      <w:r w:rsidRPr="00B41FAC">
        <w:rPr>
          <w:rFonts w:eastAsia="Times New Roman" w:cs="Times New Roman"/>
          <w:szCs w:val="24"/>
          <w:lang w:eastAsia="en-GB"/>
        </w:rPr>
        <w:t xml:space="preserve"> review of all earmarked reserves, it is intended that certain of them be reallocated and others reduced to enable risk-based reserves to be increased towards the mid-point of the target </w:t>
      </w:r>
      <w:r w:rsidR="00A13D3F">
        <w:rPr>
          <w:rFonts w:eastAsia="Times New Roman" w:cs="Times New Roman"/>
          <w:szCs w:val="24"/>
          <w:lang w:eastAsia="en-GB"/>
        </w:rPr>
        <w:t>range</w:t>
      </w:r>
      <w:r w:rsidRPr="00B41FAC">
        <w:rPr>
          <w:rFonts w:eastAsia="Times New Roman" w:cs="Times New Roman"/>
          <w:szCs w:val="24"/>
          <w:lang w:eastAsia="en-GB"/>
        </w:rPr>
        <w:t xml:space="preserve">. Whilst not yet achieving full compliance with the revised policy, progress towards it is clear.  </w:t>
      </w:r>
      <w:r w:rsidRPr="00B41FAC">
        <w:rPr>
          <w:rFonts w:eastAsia="Times New Roman" w:cs="Times New Roman"/>
          <w:szCs w:val="24"/>
          <w:lang w:eastAsia="en-US"/>
        </w:rPr>
        <w:t xml:space="preserve">This is set against forecast reserves as </w:t>
      </w:r>
      <w:proofErr w:type="gramStart"/>
      <w:r w:rsidRPr="00B41FAC">
        <w:rPr>
          <w:rFonts w:eastAsia="Times New Roman" w:cs="Times New Roman"/>
          <w:szCs w:val="24"/>
          <w:lang w:eastAsia="en-US"/>
        </w:rPr>
        <w:t>at</w:t>
      </w:r>
      <w:proofErr w:type="gramEnd"/>
      <w:r w:rsidRPr="00B41FAC">
        <w:rPr>
          <w:rFonts w:eastAsia="Times New Roman" w:cs="Times New Roman"/>
          <w:szCs w:val="24"/>
          <w:lang w:eastAsia="en-US"/>
        </w:rPr>
        <w:t xml:space="preserve"> 1st April 2021 of £8.8m: General Reserve £5.9m, Major Incident Reserve £1.9m and Insurance Reserve £1m.  </w:t>
      </w:r>
    </w:p>
    <w:p w14:paraId="2EAA79DA" w14:textId="548C1654" w:rsidR="00B41FAC" w:rsidRPr="00B41FAC" w:rsidRDefault="00B41FAC" w:rsidP="00B41FAC">
      <w:pPr>
        <w:tabs>
          <w:tab w:val="left" w:pos="284"/>
        </w:tabs>
        <w:ind w:left="0"/>
        <w:rPr>
          <w:rFonts w:eastAsia="Times New Roman" w:cs="Times New Roman"/>
          <w:szCs w:val="24"/>
          <w:lang w:eastAsia="en-US"/>
        </w:rPr>
      </w:pPr>
      <w:r w:rsidRPr="00B41FAC">
        <w:rPr>
          <w:rFonts w:eastAsia="Times New Roman" w:cs="Times New Roman"/>
          <w:szCs w:val="24"/>
          <w:lang w:eastAsia="en-GB"/>
        </w:rPr>
        <w:t xml:space="preserve">In the context of general financial risk and continuing uncertainty post pandemic, the need for sound financial control is further emphasised. The role of the </w:t>
      </w:r>
      <w:r w:rsidR="005F624E">
        <w:rPr>
          <w:rFonts w:eastAsia="Times New Roman" w:cs="Times New Roman"/>
          <w:szCs w:val="24"/>
          <w:lang w:eastAsia="en-GB"/>
        </w:rPr>
        <w:t>Director of Finance &amp; Corporate Services (S151)</w:t>
      </w:r>
      <w:r w:rsidRPr="00B41FAC">
        <w:rPr>
          <w:rFonts w:eastAsia="Times New Roman" w:cs="Times New Roman"/>
          <w:szCs w:val="24"/>
          <w:lang w:eastAsia="en-GB"/>
        </w:rPr>
        <w:t xml:space="preserve"> in supporting the Chief Constable and his team is key to delivering this.</w:t>
      </w:r>
    </w:p>
    <w:p w14:paraId="5D115E62" w14:textId="77777777" w:rsidR="00B41FAC" w:rsidRPr="00B41FAC" w:rsidRDefault="00B41FAC" w:rsidP="00B41FAC">
      <w:pPr>
        <w:spacing w:before="0" w:after="200" w:line="276" w:lineRule="auto"/>
        <w:ind w:left="0"/>
        <w:jc w:val="left"/>
        <w:rPr>
          <w:rFonts w:eastAsia="Times New Roman" w:cs="Times New Roman"/>
          <w:b/>
          <w:szCs w:val="24"/>
          <w:lang w:eastAsia="en-GB"/>
        </w:rPr>
      </w:pPr>
      <w:r w:rsidRPr="00B41FAC">
        <w:rPr>
          <w:rFonts w:eastAsia="Times New Roman" w:cs="Times New Roman"/>
          <w:b/>
          <w:szCs w:val="24"/>
          <w:lang w:eastAsia="en-GB"/>
        </w:rPr>
        <w:lastRenderedPageBreak/>
        <w:t>Principal Risks</w:t>
      </w:r>
    </w:p>
    <w:p w14:paraId="7E5ECCA9" w14:textId="77777777" w:rsidR="00B41FAC" w:rsidRPr="00B41FAC" w:rsidRDefault="00B41FAC" w:rsidP="00B41FAC">
      <w:pPr>
        <w:ind w:left="0"/>
        <w:rPr>
          <w:rFonts w:cs="Times New Roman"/>
          <w:szCs w:val="24"/>
          <w:lang w:eastAsia="en-US"/>
        </w:rPr>
      </w:pPr>
      <w:r w:rsidRPr="00B41FAC">
        <w:rPr>
          <w:rFonts w:cs="Times New Roman"/>
          <w:szCs w:val="24"/>
          <w:lang w:eastAsia="en-US"/>
        </w:rPr>
        <w:t xml:space="preserve">The principal risks facing the Chief Constable are detailed in the Annual Governance Statement included within these Financial Statements. </w:t>
      </w:r>
    </w:p>
    <w:p w14:paraId="15DE614A" w14:textId="77777777" w:rsidR="00B41FAC" w:rsidRPr="00B41FAC" w:rsidRDefault="00B41FAC" w:rsidP="00B41FAC">
      <w:pPr>
        <w:ind w:left="0"/>
        <w:rPr>
          <w:rFonts w:cs="Times New Roman"/>
          <w:b/>
          <w:bCs/>
          <w:szCs w:val="24"/>
          <w:lang w:eastAsia="en-US"/>
        </w:rPr>
      </w:pPr>
      <w:r w:rsidRPr="00B41FAC">
        <w:rPr>
          <w:rFonts w:cs="Times New Roman"/>
          <w:b/>
          <w:bCs/>
          <w:szCs w:val="24"/>
          <w:lang w:eastAsia="en-US"/>
        </w:rPr>
        <w:t xml:space="preserve">Outlook for 2021/22 and beyond </w:t>
      </w:r>
    </w:p>
    <w:p w14:paraId="0F470AF5" w14:textId="77777777" w:rsidR="00B41FAC" w:rsidRPr="00B41FAC" w:rsidRDefault="00B41FAC" w:rsidP="00B41FAC">
      <w:pPr>
        <w:ind w:left="0"/>
        <w:rPr>
          <w:rFonts w:cs="Times New Roman"/>
          <w:szCs w:val="24"/>
          <w:lang w:eastAsia="en-GB"/>
        </w:rPr>
      </w:pPr>
      <w:r w:rsidRPr="00B41FAC">
        <w:rPr>
          <w:rFonts w:cs="Times New Roman"/>
          <w:szCs w:val="24"/>
          <w:lang w:eastAsia="en-US"/>
        </w:rPr>
        <w:t>There is a balanced budget for 2021/22 including a 5.9% precept rise.  The main principles on the setting of the budget are as below:</w:t>
      </w:r>
    </w:p>
    <w:p w14:paraId="337C1FE3" w14:textId="77777777" w:rsidR="00B41FAC" w:rsidRPr="00B41FAC" w:rsidRDefault="00B41FAC" w:rsidP="005065AA">
      <w:pPr>
        <w:numPr>
          <w:ilvl w:val="0"/>
          <w:numId w:val="46"/>
        </w:numPr>
        <w:tabs>
          <w:tab w:val="left" w:pos="284"/>
          <w:tab w:val="left" w:pos="851"/>
        </w:tabs>
        <w:ind w:hanging="436"/>
        <w:rPr>
          <w:rFonts w:cs="Arial"/>
          <w:lang w:eastAsia="en-US"/>
        </w:rPr>
      </w:pPr>
      <w:r w:rsidRPr="00B41FAC">
        <w:rPr>
          <w:rFonts w:eastAsia="Calibri" w:cs="Arial"/>
          <w:lang w:eastAsia="en-US"/>
        </w:rPr>
        <w:t xml:space="preserve">The baseline budget for police officers was set at a strength of 1,119 FTE.  This was based on a targeted establishment of 1,020 FTE plus the first tranche of the national uplift of a further 50 officers, and the second tranche of 49 FTE.  This means that by March 2022 Lincolnshire will have slightly surpassed the </w:t>
      </w:r>
      <w:proofErr w:type="gramStart"/>
      <w:r w:rsidRPr="00B41FAC">
        <w:rPr>
          <w:rFonts w:eastAsia="Calibri" w:cs="Arial"/>
          <w:lang w:eastAsia="en-US"/>
        </w:rPr>
        <w:t>1,100 target</w:t>
      </w:r>
      <w:proofErr w:type="gramEnd"/>
      <w:r w:rsidRPr="00B41FAC">
        <w:rPr>
          <w:rFonts w:eastAsia="Calibri" w:cs="Arial"/>
          <w:lang w:eastAsia="en-US"/>
        </w:rPr>
        <w:t xml:space="preserve"> operating model. The Chief Constable and PCC have agreed to use non-recurrent funding to bring forward further recruitment in advance of tranche 3 of the national uplift. The plan currently being finalised is an additional intake of 60 officers in 2021/22. Should the third tranche of the uplift not equal this amount, then future recruitment will be adjusted accordingly to bring numbers back to an affordable level. The PCC and Chief Constable plan to recruit a total of 120 new police officers in 2021/22</w:t>
      </w:r>
    </w:p>
    <w:p w14:paraId="3BE01ADC" w14:textId="648D1692" w:rsidR="00B41FAC" w:rsidRPr="00B41FAC" w:rsidRDefault="00B41FAC" w:rsidP="005065AA">
      <w:pPr>
        <w:numPr>
          <w:ilvl w:val="0"/>
          <w:numId w:val="46"/>
        </w:numPr>
        <w:tabs>
          <w:tab w:val="left" w:pos="284"/>
          <w:tab w:val="left" w:pos="426"/>
          <w:tab w:val="left" w:pos="851"/>
        </w:tabs>
        <w:spacing w:before="160" w:after="160"/>
        <w:ind w:hanging="436"/>
        <w:rPr>
          <w:rFonts w:eastAsia="Calibri" w:cs="Arial"/>
          <w:lang w:eastAsia="en-US"/>
        </w:rPr>
      </w:pPr>
      <w:r w:rsidRPr="00B41FAC">
        <w:rPr>
          <w:rFonts w:eastAsia="Calibri" w:cs="Arial"/>
          <w:lang w:eastAsia="en-US"/>
        </w:rPr>
        <w:t xml:space="preserve">The current establishment of PCSOs is 85 FTE. With minor fluctuations, the budget is based on maintaining this </w:t>
      </w:r>
      <w:proofErr w:type="gramStart"/>
      <w:r w:rsidRPr="00B41FAC">
        <w:rPr>
          <w:rFonts w:eastAsia="Calibri" w:cs="Arial"/>
          <w:lang w:eastAsia="en-US"/>
        </w:rPr>
        <w:t>establishment</w:t>
      </w:r>
      <w:r w:rsidR="005065AA">
        <w:rPr>
          <w:rFonts w:eastAsia="Calibri" w:cs="Arial"/>
          <w:lang w:eastAsia="en-US"/>
        </w:rPr>
        <w:t>;</w:t>
      </w:r>
      <w:proofErr w:type="gramEnd"/>
    </w:p>
    <w:p w14:paraId="1F734A22" w14:textId="6E0E07F4" w:rsidR="00B41FAC" w:rsidRPr="00B41FAC" w:rsidRDefault="00B41FAC" w:rsidP="005065AA">
      <w:pPr>
        <w:numPr>
          <w:ilvl w:val="0"/>
          <w:numId w:val="46"/>
        </w:numPr>
        <w:tabs>
          <w:tab w:val="left" w:pos="284"/>
          <w:tab w:val="left" w:pos="426"/>
          <w:tab w:val="left" w:pos="851"/>
        </w:tabs>
        <w:spacing w:before="160" w:after="160"/>
        <w:ind w:hanging="436"/>
        <w:rPr>
          <w:rFonts w:eastAsia="Calibri" w:cs="Arial"/>
          <w:lang w:eastAsia="en-US"/>
        </w:rPr>
      </w:pPr>
      <w:r w:rsidRPr="00B41FAC">
        <w:rPr>
          <w:rFonts w:eastAsia="Calibri" w:cs="Arial"/>
          <w:lang w:eastAsia="en-US"/>
        </w:rPr>
        <w:t>The Police Staff budget has been based on 2020/21 establishment fully costed with a vacancy factor of 5% included to allow for staff turnover.  Further changes include the non-recurrent investment provided by the special grant funding and cost pressu</w:t>
      </w:r>
      <w:r w:rsidR="005065AA">
        <w:rPr>
          <w:rFonts w:eastAsia="Calibri" w:cs="Arial"/>
          <w:lang w:eastAsia="en-US"/>
        </w:rPr>
        <w:t xml:space="preserve">res including incremental </w:t>
      </w:r>
      <w:proofErr w:type="gramStart"/>
      <w:r w:rsidR="005065AA">
        <w:rPr>
          <w:rFonts w:eastAsia="Calibri" w:cs="Arial"/>
          <w:lang w:eastAsia="en-US"/>
        </w:rPr>
        <w:t>drift;</w:t>
      </w:r>
      <w:proofErr w:type="gramEnd"/>
    </w:p>
    <w:p w14:paraId="24EFB685" w14:textId="77777777" w:rsidR="00B41FAC" w:rsidRPr="00B41FAC" w:rsidRDefault="00B41FAC" w:rsidP="005065AA">
      <w:pPr>
        <w:numPr>
          <w:ilvl w:val="0"/>
          <w:numId w:val="46"/>
        </w:numPr>
        <w:tabs>
          <w:tab w:val="left" w:pos="284"/>
          <w:tab w:val="left" w:pos="426"/>
        </w:tabs>
        <w:spacing w:before="160" w:after="160"/>
        <w:ind w:left="709" w:hanging="436"/>
        <w:rPr>
          <w:rFonts w:eastAsia="Calibri" w:cs="Arial"/>
          <w:lang w:eastAsia="en-US"/>
        </w:rPr>
      </w:pPr>
      <w:r w:rsidRPr="00B41FAC">
        <w:rPr>
          <w:rFonts w:eastAsia="Calibri" w:cs="Arial"/>
          <w:lang w:eastAsia="en-US"/>
        </w:rPr>
        <w:t xml:space="preserve">The provision for pay awards arising in 2021/22 has been removed following the government’s announcement to freeze pay next year.  Provision has been made for the lowest paid staff who will still receive an uplift. </w:t>
      </w:r>
    </w:p>
    <w:p w14:paraId="1B39E0B0" w14:textId="77777777" w:rsidR="00B41FAC" w:rsidRPr="00B41FAC" w:rsidRDefault="00B41FAC" w:rsidP="00B41FAC">
      <w:pPr>
        <w:ind w:left="0"/>
        <w:rPr>
          <w:rFonts w:eastAsia="Times New Roman" w:cs="Times New Roman"/>
          <w:szCs w:val="24"/>
          <w:lang w:eastAsia="en-GB"/>
        </w:rPr>
      </w:pPr>
      <w:r w:rsidRPr="00B41FAC">
        <w:rPr>
          <w:rFonts w:eastAsia="Times New Roman" w:cs="Times New Roman"/>
          <w:szCs w:val="24"/>
          <w:lang w:eastAsia="en-GB"/>
        </w:rPr>
        <w:t xml:space="preserve">The Medium-Term Financial Plan includes provisional service budgets proposed for 2022/23 to 2024/25.  Forecasting remains challenging particularly as future grant allocations remain uncertain.  Indications are that the </w:t>
      </w:r>
      <w:proofErr w:type="gramStart"/>
      <w:r w:rsidRPr="00B41FAC">
        <w:rPr>
          <w:rFonts w:eastAsia="Times New Roman" w:cs="Times New Roman"/>
          <w:szCs w:val="24"/>
          <w:lang w:eastAsia="en-GB"/>
        </w:rPr>
        <w:t>much anticipated</w:t>
      </w:r>
      <w:proofErr w:type="gramEnd"/>
      <w:r w:rsidRPr="00B41FAC">
        <w:rPr>
          <w:rFonts w:eastAsia="Times New Roman" w:cs="Times New Roman"/>
          <w:szCs w:val="24"/>
          <w:lang w:eastAsia="en-GB"/>
        </w:rPr>
        <w:t xml:space="preserve"> Core Grant Distribution Review (funding formula review) is unlikely before 2022/23 although no specific timing has been announced.   </w:t>
      </w:r>
    </w:p>
    <w:p w14:paraId="166D87A6" w14:textId="77777777" w:rsidR="00B41FAC" w:rsidRPr="00B41FAC" w:rsidRDefault="00B41FAC" w:rsidP="00B41FAC">
      <w:pPr>
        <w:tabs>
          <w:tab w:val="left" w:pos="284"/>
        </w:tabs>
        <w:ind w:left="0"/>
        <w:rPr>
          <w:rFonts w:eastAsia="Times New Roman" w:cs="Times New Roman"/>
          <w:szCs w:val="24"/>
          <w:lang w:eastAsia="en-GB"/>
        </w:rPr>
      </w:pPr>
      <w:r w:rsidRPr="00B41FAC">
        <w:rPr>
          <w:rFonts w:eastAsia="Times New Roman" w:cs="Times New Roman"/>
          <w:szCs w:val="24"/>
          <w:lang w:eastAsia="en-GB"/>
        </w:rPr>
        <w:t>The government’s future intention in relation to grant funding allocations and limitations of council tax increases remains unclear.  Therefore, estimates have been made on prudent assumptions; there remains the risk that the anticipated income will be lower than assumed in the forecast.</w:t>
      </w:r>
    </w:p>
    <w:p w14:paraId="02F99844" w14:textId="77777777" w:rsidR="00B41FAC" w:rsidRPr="00B41FAC" w:rsidRDefault="00B41FAC" w:rsidP="00B41FAC">
      <w:pPr>
        <w:tabs>
          <w:tab w:val="left" w:pos="284"/>
        </w:tabs>
        <w:ind w:left="0"/>
        <w:rPr>
          <w:rFonts w:eastAsia="Times New Roman" w:cs="Times New Roman"/>
          <w:szCs w:val="24"/>
          <w:lang w:eastAsia="en-GB"/>
        </w:rPr>
      </w:pPr>
      <w:r w:rsidRPr="00B41FAC">
        <w:rPr>
          <w:rFonts w:eastAsia="Times New Roman" w:cs="Times New Roman"/>
          <w:szCs w:val="24"/>
          <w:lang w:eastAsia="en-GB"/>
        </w:rPr>
        <w:t>However, there is a risk relating to the expiry, in March 2022, of the initial contract term for the provision of operational and back-office support services by Lincolnshire’s strategic partner. A project is ongoing to transition from the contract and the outcomes may lead to significant cost increase in the provision of these services.</w:t>
      </w:r>
    </w:p>
    <w:p w14:paraId="3C531B94" w14:textId="77777777" w:rsidR="00B41FAC" w:rsidRPr="00B41FAC" w:rsidRDefault="00B41FAC" w:rsidP="00B41FAC">
      <w:pPr>
        <w:tabs>
          <w:tab w:val="left" w:pos="284"/>
        </w:tabs>
        <w:ind w:left="0"/>
        <w:rPr>
          <w:rFonts w:eastAsia="Times New Roman" w:cs="Times New Roman"/>
          <w:szCs w:val="24"/>
          <w:lang w:eastAsia="en-GB"/>
        </w:rPr>
      </w:pPr>
      <w:r w:rsidRPr="00B41FAC">
        <w:rPr>
          <w:rFonts w:eastAsia="Times New Roman" w:cs="Times New Roman"/>
          <w:szCs w:val="24"/>
          <w:lang w:eastAsia="en-GB"/>
        </w:rPr>
        <w:t xml:space="preserve">Nevertheless, Financial balance is indicated across the medium term </w:t>
      </w:r>
      <w:proofErr w:type="gramStart"/>
      <w:r w:rsidRPr="00B41FAC">
        <w:rPr>
          <w:rFonts w:eastAsia="Times New Roman" w:cs="Times New Roman"/>
          <w:szCs w:val="24"/>
          <w:lang w:eastAsia="en-GB"/>
        </w:rPr>
        <w:t>as a result of</w:t>
      </w:r>
      <w:proofErr w:type="gramEnd"/>
      <w:r w:rsidRPr="00B41FAC">
        <w:rPr>
          <w:rFonts w:eastAsia="Times New Roman" w:cs="Times New Roman"/>
          <w:szCs w:val="24"/>
          <w:lang w:eastAsia="en-GB"/>
        </w:rPr>
        <w:t xml:space="preserve"> increased contributions from Lincolnshire council taxpayers.</w:t>
      </w:r>
    </w:p>
    <w:p w14:paraId="5B55E36B" w14:textId="77777777" w:rsidR="00B41FAC" w:rsidRPr="00B41FAC" w:rsidRDefault="00B41FAC" w:rsidP="00B41FAC">
      <w:pPr>
        <w:tabs>
          <w:tab w:val="left" w:pos="284"/>
        </w:tabs>
        <w:ind w:left="0"/>
        <w:rPr>
          <w:rFonts w:eastAsia="Times New Roman" w:cs="Times New Roman"/>
          <w:szCs w:val="24"/>
          <w:lang w:eastAsia="en-GB"/>
        </w:rPr>
      </w:pPr>
      <w:r w:rsidRPr="00B41FAC">
        <w:rPr>
          <w:rFonts w:eastAsia="Times New Roman" w:cs="Times New Roman"/>
          <w:szCs w:val="24"/>
          <w:lang w:eastAsia="en-GB"/>
        </w:rPr>
        <w:t xml:space="preserve">Alongside increased government funding for the national police officer uplift programme, improved service delivery to the people of Lincolnshire will be achieved by significant investment in ICT infrastructure and the implementation of a class-leading Command &amp; Control system which should provide the platform to unlock significant operational benefits through the better use of resources and data. In addition, the budget allows for investment in </w:t>
      </w:r>
      <w:r w:rsidRPr="00B41FAC">
        <w:rPr>
          <w:rFonts w:eastAsia="Times New Roman" w:cs="Times New Roman"/>
          <w:szCs w:val="24"/>
          <w:lang w:eastAsia="en-GB"/>
        </w:rPr>
        <w:lastRenderedPageBreak/>
        <w:t>a Business Intelligence tool which is intended to provide a better understanding of demand further increasing productivity.</w:t>
      </w:r>
    </w:p>
    <w:p w14:paraId="09026ADF" w14:textId="77777777" w:rsidR="00B41FAC" w:rsidRPr="00B41FAC" w:rsidRDefault="00B41FAC" w:rsidP="00B41FAC">
      <w:pPr>
        <w:tabs>
          <w:tab w:val="left" w:pos="284"/>
        </w:tabs>
        <w:ind w:left="0"/>
        <w:rPr>
          <w:rFonts w:eastAsia="Times New Roman" w:cs="Times New Roman"/>
          <w:szCs w:val="24"/>
          <w:lang w:eastAsia="en-GB"/>
        </w:rPr>
      </w:pPr>
      <w:r w:rsidRPr="00B41FAC">
        <w:rPr>
          <w:rFonts w:eastAsia="Times New Roman" w:cs="Times New Roman"/>
          <w:szCs w:val="24"/>
          <w:lang w:eastAsia="en-GB"/>
        </w:rPr>
        <w:t>Improving productivity and achieving a fairer share of government funding for Lincolnshire remain key to maintaining safe levels of policing in the medium term.</w:t>
      </w:r>
    </w:p>
    <w:p w14:paraId="3CCAAF2D" w14:textId="77777777" w:rsidR="00B41FAC" w:rsidRPr="00B41FAC" w:rsidRDefault="00B41FAC" w:rsidP="00B41FAC">
      <w:pPr>
        <w:tabs>
          <w:tab w:val="left" w:pos="284"/>
        </w:tabs>
        <w:ind w:left="0"/>
        <w:rPr>
          <w:rFonts w:eastAsia="Times New Roman" w:cs="Times New Roman"/>
          <w:b/>
          <w:szCs w:val="24"/>
          <w:lang w:eastAsia="en-GB"/>
        </w:rPr>
      </w:pPr>
      <w:bookmarkStart w:id="37" w:name="_Hlk71718836"/>
      <w:r w:rsidRPr="00B41FAC">
        <w:rPr>
          <w:rFonts w:eastAsia="Times New Roman" w:cs="Times New Roman"/>
          <w:szCs w:val="24"/>
          <w:lang w:eastAsia="en-GB"/>
        </w:rPr>
        <w:t>Continuing sound financial control and planning will also be important to delivering financial balance into the medium term as there is still no certainty around future funding settlements especially if finances become tighter in a bid to balance public spending.</w:t>
      </w:r>
    </w:p>
    <w:bookmarkEnd w:id="37"/>
    <w:p w14:paraId="46AF13BC" w14:textId="5E836A07" w:rsidR="00B41FAC" w:rsidRPr="00B41FAC" w:rsidRDefault="00B41FAC" w:rsidP="00B41FAC">
      <w:pPr>
        <w:keepNext/>
        <w:tabs>
          <w:tab w:val="left" w:pos="284"/>
          <w:tab w:val="left" w:pos="851"/>
        </w:tabs>
        <w:spacing w:before="0" w:after="0"/>
        <w:ind w:left="0"/>
        <w:jc w:val="left"/>
        <w:outlineLvl w:val="8"/>
        <w:rPr>
          <w:rFonts w:eastAsia="MS Mincho" w:cs="Arial"/>
          <w:b/>
        </w:rPr>
      </w:pPr>
      <w:r w:rsidRPr="00B41FAC">
        <w:rPr>
          <w:rFonts w:eastAsia="MS Mincho" w:cs="Arial"/>
          <w:b/>
        </w:rPr>
        <w:t>Going Concern</w:t>
      </w:r>
    </w:p>
    <w:p w14:paraId="4594EA97" w14:textId="77777777" w:rsidR="00B41FAC" w:rsidRPr="00B41FAC" w:rsidRDefault="00B41FAC" w:rsidP="00B41FAC">
      <w:pPr>
        <w:widowControl w:val="0"/>
        <w:autoSpaceDE w:val="0"/>
        <w:autoSpaceDN w:val="0"/>
        <w:adjustRightInd w:val="0"/>
        <w:spacing w:before="154"/>
        <w:ind w:left="0"/>
        <w:rPr>
          <w:rFonts w:eastAsia="Times New Roman" w:cs="Arial"/>
          <w:lang w:eastAsia="en-GB"/>
        </w:rPr>
      </w:pPr>
      <w:r w:rsidRPr="00B41FAC">
        <w:rPr>
          <w:rFonts w:eastAsia="Times New Roman" w:cs="Arial"/>
          <w:lang w:eastAsia="en-GB"/>
        </w:rPr>
        <w:t>The concept of a going concern assumes that the functions of the Police and Crime Commissioner and the Force will continue in operational existence for the foreseeable future. The provisions in the Code (code of practice on local authority accounting in the United Kingdom 2020/21) in respect of going concern reporting requirements reflect the economic and statutory environment in which police forces operate. These provisions confirm that, as police forces cannot be created or dissolved without statutory prescription, they must prepare their financial statements on a going concern basis of accounting.</w:t>
      </w:r>
    </w:p>
    <w:p w14:paraId="7CF86DC8" w14:textId="77777777" w:rsidR="00B41FAC" w:rsidRPr="00B41FAC" w:rsidRDefault="00B41FAC" w:rsidP="00B41FAC">
      <w:pPr>
        <w:widowControl w:val="0"/>
        <w:autoSpaceDE w:val="0"/>
        <w:autoSpaceDN w:val="0"/>
        <w:adjustRightInd w:val="0"/>
        <w:spacing w:before="156"/>
        <w:ind w:left="0"/>
        <w:rPr>
          <w:rFonts w:eastAsia="Times New Roman" w:cs="Arial"/>
          <w:lang w:eastAsia="en-GB"/>
        </w:rPr>
      </w:pPr>
      <w:r w:rsidRPr="00B41FAC">
        <w:rPr>
          <w:rFonts w:eastAsia="Times New Roman" w:cs="Arial"/>
          <w:lang w:eastAsia="en-GB"/>
        </w:rPr>
        <w:t>Police and Crime Commissioners and Chief Constables carry out functions essential to the local community and are themselves revenue-raising bodies (with limits on their revenue-raising powers arising only at the discretion of central government). If a police force were in financial difficulty, the prospects are thus that alternative arrangements might be made by central government either for the continuation of the functions it provides or for assistance with the recovery of a deficit over more than one financial year. As a result of this, it would not therefore be appropriate for the financial statements to be provided on anything other than a going concern basis.  Accounts drawn up under the Code therefore assume that a police force will continue to operate for the foreseeable future.</w:t>
      </w:r>
    </w:p>
    <w:p w14:paraId="61988412" w14:textId="77777777" w:rsidR="00B41FAC" w:rsidRPr="00B41FAC" w:rsidRDefault="00B41FAC" w:rsidP="00B41FAC">
      <w:pPr>
        <w:tabs>
          <w:tab w:val="left" w:pos="284"/>
        </w:tabs>
        <w:ind w:left="0"/>
        <w:rPr>
          <w:rFonts w:eastAsia="Times New Roman" w:cs="Arial"/>
          <w:lang w:eastAsia="en-GB"/>
        </w:rPr>
      </w:pPr>
      <w:r w:rsidRPr="00B41FAC">
        <w:rPr>
          <w:rFonts w:eastAsia="Times New Roman" w:cs="Arial"/>
          <w:lang w:eastAsia="en-GB"/>
        </w:rPr>
        <w:t xml:space="preserve">The COVID-19 lockdown restrictions employed within the United Kingdom created issues for police forces in terms of policing the government lockdown policy in addition to continuing normal policing functions.  This gave rise to additional costs in terms of overtime and providing personal protective equipment (PPE) to operational police officers and staff.  However, the PCC maintains a Major Incident Reserve of £1.8m to manage the financial risks of major incidents and received additional financial support from Government to cover the additional costs. The Government also created a scheme </w:t>
      </w:r>
      <w:proofErr w:type="gramStart"/>
      <w:r w:rsidRPr="00B41FAC">
        <w:rPr>
          <w:rFonts w:eastAsia="Times New Roman" w:cs="Arial"/>
          <w:lang w:eastAsia="en-GB"/>
        </w:rPr>
        <w:t>were</w:t>
      </w:r>
      <w:proofErr w:type="gramEnd"/>
      <w:r w:rsidRPr="00B41FAC">
        <w:rPr>
          <w:rFonts w:eastAsia="Times New Roman" w:cs="Arial"/>
          <w:lang w:eastAsia="en-GB"/>
        </w:rPr>
        <w:t xml:space="preserve"> Police Forces could nationally order PPE with costs picked up centrally.  </w:t>
      </w:r>
    </w:p>
    <w:p w14:paraId="330F8E77" w14:textId="77777777" w:rsidR="00B41FAC" w:rsidRPr="00B41FAC" w:rsidRDefault="00B41FAC" w:rsidP="00B41FAC">
      <w:pPr>
        <w:tabs>
          <w:tab w:val="left" w:pos="284"/>
        </w:tabs>
        <w:ind w:left="0"/>
        <w:rPr>
          <w:rFonts w:eastAsia="Times New Roman" w:cs="Arial"/>
          <w:lang w:eastAsia="en-GB"/>
        </w:rPr>
      </w:pPr>
      <w:r w:rsidRPr="00B41FAC">
        <w:rPr>
          <w:rFonts w:eastAsia="Times New Roman" w:cs="Arial"/>
          <w:lang w:eastAsia="en-GB"/>
        </w:rPr>
        <w:t>The pandemic has not had the envisaged impact on the council tax which was expected at the start of the previous financial year.  The was a very slight increase of 0.34% in the tax base for 2021/22.  The Government have also been proactive in supporting authorities with regards to council tax funding by setting the following funding initiatives –</w:t>
      </w:r>
    </w:p>
    <w:p w14:paraId="76D94298" w14:textId="0A291165" w:rsidR="00B41FAC" w:rsidRPr="00B41FAC" w:rsidRDefault="00B41FAC" w:rsidP="005065AA">
      <w:pPr>
        <w:numPr>
          <w:ilvl w:val="0"/>
          <w:numId w:val="47"/>
        </w:numPr>
        <w:tabs>
          <w:tab w:val="left" w:pos="284"/>
          <w:tab w:val="left" w:pos="851"/>
        </w:tabs>
        <w:ind w:hanging="436"/>
        <w:rPr>
          <w:rFonts w:eastAsia="Calibri" w:cs="Arial"/>
          <w:lang w:eastAsia="en-US"/>
        </w:rPr>
      </w:pPr>
      <w:r w:rsidRPr="00B41FAC">
        <w:rPr>
          <w:rFonts w:eastAsia="Calibri" w:cs="Arial"/>
          <w:lang w:eastAsia="en-US"/>
        </w:rPr>
        <w:t>Local Government Finance Settlement – announced in the 2020 Spending Review, this funding enables councils to continue to reduce council tax bills for those least able to pay.  This funding paid directly by MHCLG to PCC’s and is designed to increase precept revenue as a result of tax base reducti</w:t>
      </w:r>
      <w:r w:rsidR="005065AA">
        <w:rPr>
          <w:rFonts w:eastAsia="Calibri" w:cs="Arial"/>
          <w:lang w:eastAsia="en-US"/>
        </w:rPr>
        <w:t xml:space="preserve">ons resulting from the </w:t>
      </w:r>
      <w:proofErr w:type="gramStart"/>
      <w:r w:rsidR="005065AA">
        <w:rPr>
          <w:rFonts w:eastAsia="Calibri" w:cs="Arial"/>
          <w:lang w:eastAsia="en-US"/>
        </w:rPr>
        <w:t>pandemic;</w:t>
      </w:r>
      <w:proofErr w:type="gramEnd"/>
      <w:r w:rsidRPr="00B41FAC">
        <w:rPr>
          <w:rFonts w:eastAsia="Calibri" w:cs="Arial"/>
          <w:lang w:eastAsia="en-US"/>
        </w:rPr>
        <w:t xml:space="preserve">  </w:t>
      </w:r>
    </w:p>
    <w:p w14:paraId="07DCB97B" w14:textId="77777777" w:rsidR="00B41FAC" w:rsidRPr="00B41FAC" w:rsidRDefault="00B41FAC" w:rsidP="005065AA">
      <w:pPr>
        <w:numPr>
          <w:ilvl w:val="0"/>
          <w:numId w:val="47"/>
        </w:numPr>
        <w:tabs>
          <w:tab w:val="left" w:pos="284"/>
          <w:tab w:val="left" w:pos="851"/>
        </w:tabs>
        <w:ind w:hanging="436"/>
        <w:rPr>
          <w:rFonts w:eastAsia="Calibri" w:cs="Arial"/>
          <w:lang w:eastAsia="en-US"/>
        </w:rPr>
      </w:pPr>
      <w:r w:rsidRPr="00B41FAC">
        <w:rPr>
          <w:rFonts w:eastAsia="Calibri" w:cs="Arial"/>
          <w:lang w:eastAsia="en-US"/>
        </w:rPr>
        <w:t xml:space="preserve">Collection Fund Deficits – the MHCLG also announced that any repayment of collection fund deficits arising from 2020/21 must spread over the next three years; rather than the usual one.  The Government will compensate authorities for 75% of irrecoverable losses in council tax income for 2020/21.  Funding will be paid directly to </w:t>
      </w:r>
      <w:proofErr w:type="gramStart"/>
      <w:r w:rsidRPr="00B41FAC">
        <w:rPr>
          <w:rFonts w:eastAsia="Calibri" w:cs="Arial"/>
          <w:lang w:eastAsia="en-US"/>
        </w:rPr>
        <w:t>PCC’s</w:t>
      </w:r>
      <w:proofErr w:type="gramEnd"/>
      <w:r w:rsidRPr="00B41FAC">
        <w:rPr>
          <w:rFonts w:eastAsia="Calibri" w:cs="Arial"/>
          <w:lang w:eastAsia="en-US"/>
        </w:rPr>
        <w:t xml:space="preserve"> in 2021/22, with the obligation that PCC’s will meet the total costs from the 2020/21 deficit over the next three years.  Two Lincolnshire District Councils declared </w:t>
      </w:r>
      <w:r w:rsidRPr="00B41FAC">
        <w:rPr>
          <w:rFonts w:eastAsia="Calibri" w:cs="Arial"/>
          <w:lang w:eastAsia="en-US"/>
        </w:rPr>
        <w:lastRenderedPageBreak/>
        <w:t>a deficit, totalling £0.132m.  The cost pressure therefore for the PCC for the next three years to 2023/24 is £0.033m.</w:t>
      </w:r>
    </w:p>
    <w:p w14:paraId="39C46BB1" w14:textId="77777777" w:rsidR="00B41FAC" w:rsidRPr="00B41FAC" w:rsidRDefault="00B41FAC" w:rsidP="00B41FAC">
      <w:pPr>
        <w:tabs>
          <w:tab w:val="left" w:pos="284"/>
        </w:tabs>
        <w:ind w:left="0"/>
        <w:rPr>
          <w:rFonts w:eastAsia="Times New Roman" w:cs="Times New Roman"/>
          <w:szCs w:val="24"/>
          <w:lang w:eastAsia="en-GB"/>
        </w:rPr>
      </w:pPr>
      <w:r w:rsidRPr="00B41FAC">
        <w:rPr>
          <w:rFonts w:eastAsia="Times New Roman" w:cs="Arial"/>
          <w:lang w:eastAsia="en-GB"/>
        </w:rPr>
        <w:t xml:space="preserve">We recognise that although there is a clear roadmap for releasing lockdown arrangements further outbreaks of COVID-19 variants cannot be ruled out.  This creates potential uncertainty in the operation conditions for the future.  The Force continues to learn from the experiences over the past twelve months and is confident that the impact can be managed in 2021/22 by use of the Major Incident Reserve and that there will be minimal impact on the general reserve </w:t>
      </w:r>
      <w:proofErr w:type="gramStart"/>
      <w:r w:rsidRPr="00B41FAC">
        <w:rPr>
          <w:rFonts w:eastAsia="Times New Roman" w:cs="Arial"/>
          <w:lang w:eastAsia="en-GB"/>
        </w:rPr>
        <w:t>balance</w:t>
      </w:r>
      <w:proofErr w:type="gramEnd"/>
    </w:p>
    <w:p w14:paraId="3F642E22" w14:textId="77777777" w:rsidR="00B41FAC" w:rsidRPr="00B41FAC" w:rsidRDefault="00B41FAC" w:rsidP="00B41FAC">
      <w:pPr>
        <w:tabs>
          <w:tab w:val="left" w:pos="284"/>
        </w:tabs>
        <w:ind w:left="0"/>
        <w:rPr>
          <w:rFonts w:eastAsia="Times New Roman" w:cs="Arial"/>
          <w:lang w:eastAsia="en-GB"/>
        </w:rPr>
      </w:pPr>
      <w:r w:rsidRPr="00B41FAC">
        <w:rPr>
          <w:rFonts w:eastAsia="Times New Roman" w:cs="Arial"/>
          <w:lang w:eastAsia="en-GB"/>
        </w:rPr>
        <w:t xml:space="preserve">It has been assumed that the tax base will increase by 0.5% per annum across the Medium-Term Financial Plan (MTFP).  This is considered to be prudent level of increase given the anticipated </w:t>
      </w:r>
      <w:proofErr w:type="gramStart"/>
      <w:r w:rsidRPr="00B41FAC">
        <w:rPr>
          <w:rFonts w:eastAsia="Times New Roman" w:cs="Arial"/>
          <w:lang w:eastAsia="en-GB"/>
        </w:rPr>
        <w:t>longer term</w:t>
      </w:r>
      <w:proofErr w:type="gramEnd"/>
      <w:r w:rsidRPr="00B41FAC">
        <w:rPr>
          <w:rFonts w:eastAsia="Times New Roman" w:cs="Arial"/>
          <w:lang w:eastAsia="en-GB"/>
        </w:rPr>
        <w:t xml:space="preserve"> impact of the COVID-19 pandemic.  </w:t>
      </w:r>
    </w:p>
    <w:p w14:paraId="014A971C" w14:textId="77777777" w:rsidR="00B41FAC" w:rsidRPr="00B41FAC" w:rsidRDefault="00B41FAC" w:rsidP="00B41FAC">
      <w:pPr>
        <w:keepNext/>
        <w:tabs>
          <w:tab w:val="left" w:pos="284"/>
          <w:tab w:val="left" w:pos="851"/>
        </w:tabs>
        <w:spacing w:before="0" w:after="0"/>
        <w:ind w:left="0"/>
        <w:jc w:val="left"/>
        <w:outlineLvl w:val="8"/>
        <w:rPr>
          <w:rFonts w:eastAsia="MS Mincho" w:cs="Arial"/>
          <w:b/>
        </w:rPr>
      </w:pPr>
      <w:r w:rsidRPr="00B41FAC">
        <w:rPr>
          <w:rFonts w:eastAsia="MS Mincho" w:cs="Arial"/>
          <w:b/>
        </w:rPr>
        <w:t>Explanation of Financial Statements</w:t>
      </w:r>
    </w:p>
    <w:p w14:paraId="2593CEF6" w14:textId="77777777" w:rsidR="00B41FAC" w:rsidRPr="00B41FAC" w:rsidRDefault="00B41FAC" w:rsidP="00B41FAC">
      <w:pPr>
        <w:ind w:left="0"/>
        <w:rPr>
          <w:rFonts w:cs="Times New Roman"/>
          <w:szCs w:val="24"/>
          <w:lang w:eastAsia="en-US"/>
        </w:rPr>
      </w:pPr>
      <w:r w:rsidRPr="00B41FAC">
        <w:rPr>
          <w:rFonts w:cs="Times New Roman"/>
          <w:szCs w:val="24"/>
          <w:lang w:eastAsia="en-US"/>
        </w:rPr>
        <w:t xml:space="preserve">These Financial Statements have been compiled in accordance with the Accounts and Audit Regulations 2015 and the Code of Practice on Local Authority Accounting 2020/21. </w:t>
      </w:r>
    </w:p>
    <w:p w14:paraId="32777947" w14:textId="77777777" w:rsidR="00B41FAC" w:rsidRPr="00B41FAC" w:rsidRDefault="00B41FAC" w:rsidP="00B41FAC">
      <w:pPr>
        <w:ind w:left="0"/>
        <w:rPr>
          <w:rFonts w:cs="Times New Roman"/>
          <w:szCs w:val="24"/>
          <w:lang w:eastAsia="en-US"/>
        </w:rPr>
      </w:pPr>
      <w:r w:rsidRPr="00B41FAC">
        <w:rPr>
          <w:rFonts w:cs="Times New Roman"/>
          <w:szCs w:val="24"/>
          <w:lang w:eastAsia="en-US"/>
        </w:rPr>
        <w:t xml:space="preserve">The format and content of the financial statements is prescribed by the CIPFA Code of Practice on Local Authority Accountancy in the United Kingdom 2020/21, which in turn is underpinned by International Financial Reporting Standards. </w:t>
      </w:r>
    </w:p>
    <w:p w14:paraId="2C7469D4" w14:textId="77777777" w:rsidR="00B41FAC" w:rsidRPr="00B41FAC" w:rsidRDefault="00B41FAC" w:rsidP="00B41FAC">
      <w:pPr>
        <w:ind w:left="0"/>
        <w:rPr>
          <w:rFonts w:cs="Times New Roman"/>
          <w:szCs w:val="24"/>
          <w:lang w:eastAsia="en-US"/>
        </w:rPr>
      </w:pPr>
      <w:r w:rsidRPr="00B41FAC">
        <w:rPr>
          <w:rFonts w:cs="Times New Roman"/>
          <w:szCs w:val="24"/>
          <w:lang w:eastAsia="en-US"/>
        </w:rPr>
        <w:t xml:space="preserve">These Financial Statements for the Chief Constable set out the income and expenditure for the year and its financial position </w:t>
      </w:r>
      <w:proofErr w:type="gramStart"/>
      <w:r w:rsidRPr="00B41FAC">
        <w:rPr>
          <w:rFonts w:cs="Times New Roman"/>
          <w:szCs w:val="24"/>
          <w:lang w:eastAsia="en-US"/>
        </w:rPr>
        <w:t>at</w:t>
      </w:r>
      <w:proofErr w:type="gramEnd"/>
      <w:r w:rsidRPr="00B41FAC">
        <w:rPr>
          <w:rFonts w:cs="Times New Roman"/>
          <w:szCs w:val="24"/>
          <w:lang w:eastAsia="en-US"/>
        </w:rPr>
        <w:t xml:space="preserve"> 31 March 2021. It comprises core and supplementary statements, together with disclosure notes. </w:t>
      </w:r>
    </w:p>
    <w:p w14:paraId="090CC1B9" w14:textId="77777777" w:rsidR="00B41FAC" w:rsidRPr="00B41FAC" w:rsidRDefault="00B41FAC" w:rsidP="00B41FAC">
      <w:pPr>
        <w:ind w:left="0"/>
        <w:rPr>
          <w:rFonts w:cs="Times New Roman"/>
          <w:szCs w:val="24"/>
          <w:lang w:eastAsia="en-US"/>
        </w:rPr>
      </w:pPr>
      <w:r w:rsidRPr="00B41FAC">
        <w:rPr>
          <w:rFonts w:cs="Times New Roman"/>
          <w:szCs w:val="24"/>
          <w:lang w:eastAsia="en-US"/>
        </w:rPr>
        <w:t xml:space="preserve">A glossary of terms can be found at the end of this publication. </w:t>
      </w:r>
    </w:p>
    <w:p w14:paraId="49708DEA" w14:textId="77777777" w:rsidR="00B41FAC" w:rsidRPr="00B41FAC" w:rsidRDefault="00B41FAC" w:rsidP="00B41FAC">
      <w:pPr>
        <w:ind w:left="0"/>
        <w:rPr>
          <w:rFonts w:cs="Arial"/>
          <w:b/>
          <w:bCs/>
          <w:color w:val="auto"/>
          <w:lang w:eastAsia="en-US"/>
        </w:rPr>
      </w:pPr>
      <w:r w:rsidRPr="00B41FAC">
        <w:rPr>
          <w:rFonts w:cs="Times New Roman"/>
          <w:szCs w:val="24"/>
          <w:lang w:eastAsia="en-US"/>
        </w:rPr>
        <w:t xml:space="preserve">All assets, liabilities and reserves continue to be held in the main by the PCC. However, those specifically relating to accounting entries within the Chief Constable entity are included in these Financial Statements. Pension liabilities have been split between the PCC and Chief Constable accounts. </w:t>
      </w:r>
    </w:p>
    <w:p w14:paraId="7E0138F0" w14:textId="77777777" w:rsidR="00B41FAC" w:rsidRPr="00B41FAC" w:rsidRDefault="00B41FAC" w:rsidP="00B41FAC">
      <w:pPr>
        <w:ind w:left="0"/>
        <w:rPr>
          <w:rFonts w:cs="Arial"/>
          <w:b/>
          <w:bCs/>
          <w:color w:val="auto"/>
          <w:lang w:eastAsia="en-US"/>
        </w:rPr>
      </w:pPr>
      <w:r w:rsidRPr="00B41FAC">
        <w:rPr>
          <w:rFonts w:cs="Arial"/>
          <w:b/>
          <w:bCs/>
          <w:color w:val="auto"/>
          <w:lang w:eastAsia="en-US"/>
        </w:rPr>
        <w:t xml:space="preserve">Core Statements </w:t>
      </w:r>
    </w:p>
    <w:p w14:paraId="0FF23924" w14:textId="7F80AF72" w:rsidR="00B41FAC" w:rsidRDefault="00B41FAC" w:rsidP="005065AA">
      <w:pPr>
        <w:pStyle w:val="ListParagraph"/>
        <w:numPr>
          <w:ilvl w:val="0"/>
          <w:numId w:val="52"/>
        </w:numPr>
        <w:tabs>
          <w:tab w:val="left" w:pos="709"/>
        </w:tabs>
        <w:spacing w:before="160" w:after="160"/>
        <w:ind w:left="709" w:hanging="436"/>
        <w:rPr>
          <w:rFonts w:eastAsia="Calibri" w:cs="Arial"/>
          <w:lang w:eastAsia="en-US"/>
        </w:rPr>
      </w:pPr>
      <w:r w:rsidRPr="00135E27">
        <w:rPr>
          <w:rFonts w:eastAsia="Calibri" w:cs="Arial"/>
          <w:lang w:eastAsia="en-US"/>
        </w:rPr>
        <w:t>Expenditure and Funding Analysis – this shows how annual expenditure is used and funded from resources. Income and expenditure accounted for under generally accepted accounting principles is presented more fully in the Comprehensive I</w:t>
      </w:r>
      <w:r w:rsidR="005065AA">
        <w:rPr>
          <w:rFonts w:eastAsia="Calibri" w:cs="Arial"/>
          <w:lang w:eastAsia="en-US"/>
        </w:rPr>
        <w:t xml:space="preserve">ncome and Expenditure </w:t>
      </w:r>
      <w:proofErr w:type="gramStart"/>
      <w:r w:rsidR="005065AA">
        <w:rPr>
          <w:rFonts w:eastAsia="Calibri" w:cs="Arial"/>
          <w:lang w:eastAsia="en-US"/>
        </w:rPr>
        <w:t>Statement;</w:t>
      </w:r>
      <w:proofErr w:type="gramEnd"/>
      <w:r w:rsidRPr="00135E27">
        <w:rPr>
          <w:rFonts w:eastAsia="Calibri" w:cs="Arial"/>
          <w:lang w:eastAsia="en-US"/>
        </w:rPr>
        <w:t xml:space="preserve"> </w:t>
      </w:r>
    </w:p>
    <w:p w14:paraId="4EFF4296" w14:textId="77777777" w:rsidR="00135E27" w:rsidRPr="00135E27" w:rsidRDefault="00135E27" w:rsidP="005065AA">
      <w:pPr>
        <w:pStyle w:val="ListParagraph"/>
        <w:tabs>
          <w:tab w:val="left" w:pos="709"/>
        </w:tabs>
        <w:spacing w:before="160" w:after="160"/>
        <w:ind w:left="709" w:hanging="436"/>
        <w:rPr>
          <w:rFonts w:eastAsia="Calibri" w:cs="Arial"/>
          <w:lang w:eastAsia="en-US"/>
        </w:rPr>
      </w:pPr>
    </w:p>
    <w:p w14:paraId="5A86C78F" w14:textId="5E5627AC" w:rsidR="00B41FAC" w:rsidRDefault="00B41FAC" w:rsidP="005065AA">
      <w:pPr>
        <w:pStyle w:val="ListParagraph"/>
        <w:numPr>
          <w:ilvl w:val="0"/>
          <w:numId w:val="52"/>
        </w:numPr>
        <w:tabs>
          <w:tab w:val="left" w:pos="709"/>
        </w:tabs>
        <w:spacing w:before="160" w:after="160"/>
        <w:ind w:left="709" w:hanging="436"/>
        <w:rPr>
          <w:rFonts w:eastAsia="Calibri" w:cs="Arial"/>
          <w:lang w:eastAsia="en-US"/>
        </w:rPr>
      </w:pPr>
      <w:r w:rsidRPr="00135E27">
        <w:rPr>
          <w:rFonts w:eastAsia="Calibri" w:cs="Arial"/>
          <w:lang w:eastAsia="en-US"/>
        </w:rPr>
        <w:t>Comprehensive Income and Expenditure Statement – this shows the accounting cost in the year of providing services in accordance with generally accepted accounting practices, rather than the am</w:t>
      </w:r>
      <w:r w:rsidR="005065AA">
        <w:rPr>
          <w:rFonts w:eastAsia="Calibri" w:cs="Arial"/>
          <w:lang w:eastAsia="en-US"/>
        </w:rPr>
        <w:t xml:space="preserve">ount to be funded from </w:t>
      </w:r>
      <w:proofErr w:type="gramStart"/>
      <w:r w:rsidR="005065AA">
        <w:rPr>
          <w:rFonts w:eastAsia="Calibri" w:cs="Arial"/>
          <w:lang w:eastAsia="en-US"/>
        </w:rPr>
        <w:t>taxation;</w:t>
      </w:r>
      <w:proofErr w:type="gramEnd"/>
    </w:p>
    <w:p w14:paraId="354181FF" w14:textId="77777777" w:rsidR="00135E27" w:rsidRPr="00135E27" w:rsidRDefault="00135E27" w:rsidP="005065AA">
      <w:pPr>
        <w:pStyle w:val="ListParagraph"/>
        <w:tabs>
          <w:tab w:val="left" w:pos="709"/>
        </w:tabs>
        <w:ind w:left="709" w:hanging="436"/>
        <w:rPr>
          <w:rFonts w:eastAsia="Calibri" w:cs="Arial"/>
          <w:lang w:eastAsia="en-US"/>
        </w:rPr>
      </w:pPr>
    </w:p>
    <w:p w14:paraId="3BE758AC" w14:textId="0FA9D766" w:rsidR="00135E27" w:rsidRPr="00135E27" w:rsidRDefault="00135E27" w:rsidP="005065AA">
      <w:pPr>
        <w:pStyle w:val="ListParagraph"/>
        <w:numPr>
          <w:ilvl w:val="0"/>
          <w:numId w:val="52"/>
        </w:numPr>
        <w:tabs>
          <w:tab w:val="left" w:pos="709"/>
        </w:tabs>
        <w:spacing w:before="160" w:after="160"/>
        <w:ind w:left="709" w:hanging="436"/>
        <w:rPr>
          <w:rFonts w:eastAsia="Calibri" w:cs="Arial"/>
          <w:lang w:eastAsia="en-US"/>
        </w:rPr>
      </w:pPr>
      <w:r w:rsidRPr="00135E27">
        <w:rPr>
          <w:rFonts w:eastAsia="Calibri" w:cs="Arial"/>
          <w:lang w:eastAsia="en-US"/>
        </w:rPr>
        <w:t>Movement in Reserves Statement – this shows the movement on the usable and unusable reserves from the start of the financial year to the end of the year. As the Chief Constable does not hold any usable reserves, no movements are shown in respect of usable reserves. Movements are shown in unusable reserves whi</w:t>
      </w:r>
      <w:r w:rsidR="005065AA">
        <w:rPr>
          <w:rFonts w:eastAsia="Calibri" w:cs="Arial"/>
          <w:lang w:eastAsia="en-US"/>
        </w:rPr>
        <w:t xml:space="preserve">ch relate to pension </w:t>
      </w:r>
      <w:proofErr w:type="gramStart"/>
      <w:r w:rsidR="005065AA">
        <w:rPr>
          <w:rFonts w:eastAsia="Calibri" w:cs="Arial"/>
          <w:lang w:eastAsia="en-US"/>
        </w:rPr>
        <w:t>accounting;</w:t>
      </w:r>
      <w:proofErr w:type="gramEnd"/>
    </w:p>
    <w:p w14:paraId="6CD10CF4" w14:textId="77777777" w:rsidR="00135E27" w:rsidRPr="00135E27" w:rsidRDefault="00135E27" w:rsidP="005065AA">
      <w:pPr>
        <w:pStyle w:val="ListParagraph"/>
        <w:tabs>
          <w:tab w:val="left" w:pos="709"/>
        </w:tabs>
        <w:spacing w:before="160" w:after="160"/>
        <w:ind w:left="709" w:hanging="436"/>
        <w:rPr>
          <w:rFonts w:eastAsia="Calibri" w:cs="Arial"/>
          <w:lang w:eastAsia="en-US"/>
        </w:rPr>
      </w:pPr>
    </w:p>
    <w:p w14:paraId="601DAB94" w14:textId="694E0839" w:rsidR="00135E27" w:rsidRDefault="00B41FAC" w:rsidP="005065AA">
      <w:pPr>
        <w:pStyle w:val="ListParagraph"/>
        <w:numPr>
          <w:ilvl w:val="0"/>
          <w:numId w:val="52"/>
        </w:numPr>
        <w:tabs>
          <w:tab w:val="left" w:pos="709"/>
        </w:tabs>
        <w:spacing w:before="160" w:after="160"/>
        <w:ind w:left="709" w:hanging="436"/>
        <w:rPr>
          <w:rFonts w:eastAsia="Calibri" w:cs="Arial"/>
          <w:lang w:eastAsia="en-US"/>
        </w:rPr>
      </w:pPr>
      <w:r w:rsidRPr="00135E27">
        <w:rPr>
          <w:rFonts w:eastAsia="Calibri" w:cs="Arial"/>
          <w:lang w:eastAsia="en-US"/>
        </w:rPr>
        <w:t>Balance Sheet – this represents the financial position as at the balance sheet date of the assets and liabilities recognised. The net assets are matched by the reserves held. The only reserve</w:t>
      </w:r>
      <w:r w:rsidR="005065AA">
        <w:rPr>
          <w:rFonts w:eastAsia="Calibri" w:cs="Arial"/>
          <w:lang w:eastAsia="en-US"/>
        </w:rPr>
        <w:t xml:space="preserve"> balance is the pension </w:t>
      </w:r>
      <w:proofErr w:type="gramStart"/>
      <w:r w:rsidR="005065AA">
        <w:rPr>
          <w:rFonts w:eastAsia="Calibri" w:cs="Arial"/>
          <w:lang w:eastAsia="en-US"/>
        </w:rPr>
        <w:t>reserve;</w:t>
      </w:r>
      <w:proofErr w:type="gramEnd"/>
      <w:r w:rsidRPr="00135E27">
        <w:rPr>
          <w:rFonts w:eastAsia="Calibri" w:cs="Arial"/>
          <w:lang w:eastAsia="en-US"/>
        </w:rPr>
        <w:t xml:space="preserve"> </w:t>
      </w:r>
    </w:p>
    <w:p w14:paraId="01B14E63" w14:textId="77777777" w:rsidR="00135E27" w:rsidRPr="00135E27" w:rsidRDefault="00135E27" w:rsidP="005065AA">
      <w:pPr>
        <w:pStyle w:val="ListParagraph"/>
        <w:tabs>
          <w:tab w:val="left" w:pos="709"/>
        </w:tabs>
        <w:ind w:left="709" w:hanging="436"/>
        <w:rPr>
          <w:rFonts w:eastAsia="Calibri" w:cs="Arial"/>
          <w:lang w:eastAsia="en-US"/>
        </w:rPr>
      </w:pPr>
    </w:p>
    <w:p w14:paraId="00412E38" w14:textId="77777777" w:rsidR="00135E27" w:rsidRPr="00135E27" w:rsidRDefault="00135E27" w:rsidP="005065AA">
      <w:pPr>
        <w:pStyle w:val="ListParagraph"/>
        <w:numPr>
          <w:ilvl w:val="0"/>
          <w:numId w:val="52"/>
        </w:numPr>
        <w:tabs>
          <w:tab w:val="left" w:pos="709"/>
        </w:tabs>
        <w:spacing w:before="160" w:after="160"/>
        <w:ind w:left="709" w:hanging="436"/>
        <w:rPr>
          <w:rFonts w:eastAsia="Calibri" w:cs="Arial"/>
          <w:lang w:eastAsia="en-US"/>
        </w:rPr>
      </w:pPr>
      <w:r w:rsidRPr="00135E27">
        <w:rPr>
          <w:rFonts w:eastAsia="Calibri" w:cs="Arial"/>
          <w:lang w:eastAsia="en-US"/>
        </w:rPr>
        <w:lastRenderedPageBreak/>
        <w:t xml:space="preserve">Cash Flow Statement – this summarises the movement in cash and cash equivalents arising from transactions during the year. As the Chief Constable does not manage these transactions, the statement shows no movement in overall funds. However, a statement has been prepared in accordance with accounting requirements which shows the movement in the deficit and how this relates to non-cash movements within the PCC Group. </w:t>
      </w:r>
    </w:p>
    <w:p w14:paraId="7B95D3FA" w14:textId="77777777" w:rsidR="00B41FAC" w:rsidRPr="00B41FAC" w:rsidRDefault="00B41FAC" w:rsidP="00754431">
      <w:pPr>
        <w:spacing w:before="0" w:after="200" w:line="276" w:lineRule="auto"/>
        <w:ind w:left="0"/>
        <w:jc w:val="left"/>
        <w:rPr>
          <w:rFonts w:cs="Arial"/>
          <w:b/>
          <w:bCs/>
          <w:color w:val="auto"/>
          <w:lang w:eastAsia="en-US"/>
        </w:rPr>
      </w:pPr>
      <w:r w:rsidRPr="00B41FAC">
        <w:rPr>
          <w:rFonts w:cs="Arial"/>
          <w:b/>
          <w:bCs/>
          <w:color w:val="auto"/>
          <w:lang w:eastAsia="en-US"/>
        </w:rPr>
        <w:t xml:space="preserve">Supplementary Statements </w:t>
      </w:r>
    </w:p>
    <w:p w14:paraId="3DF20AD7" w14:textId="7C9A19FE" w:rsidR="00B41FAC" w:rsidRDefault="00B41FAC" w:rsidP="005065AA">
      <w:pPr>
        <w:pStyle w:val="ListParagraph"/>
        <w:numPr>
          <w:ilvl w:val="0"/>
          <w:numId w:val="53"/>
        </w:numPr>
        <w:tabs>
          <w:tab w:val="left" w:pos="709"/>
        </w:tabs>
        <w:spacing w:before="160" w:after="160"/>
        <w:ind w:left="709" w:hanging="425"/>
        <w:rPr>
          <w:rFonts w:eastAsia="Calibri" w:cs="Arial"/>
          <w:lang w:eastAsia="en-US"/>
        </w:rPr>
      </w:pPr>
      <w:r w:rsidRPr="00135E27">
        <w:rPr>
          <w:rFonts w:eastAsia="Calibri" w:cs="Arial"/>
          <w:lang w:eastAsia="en-US"/>
        </w:rPr>
        <w:t>Annual Governance Statement – the Chief Constable publishes an Annual Governance Statement in accordance with the Delivering Good Governance guidance in order to meet the statutory requirements set out in the Accounts and Audi</w:t>
      </w:r>
      <w:r w:rsidR="005065AA">
        <w:rPr>
          <w:rFonts w:eastAsia="Calibri" w:cs="Arial"/>
          <w:lang w:eastAsia="en-US"/>
        </w:rPr>
        <w:t xml:space="preserve">t Regulations </w:t>
      </w:r>
      <w:proofErr w:type="gramStart"/>
      <w:r w:rsidR="005065AA">
        <w:rPr>
          <w:rFonts w:eastAsia="Calibri" w:cs="Arial"/>
          <w:lang w:eastAsia="en-US"/>
        </w:rPr>
        <w:t>2015;</w:t>
      </w:r>
      <w:proofErr w:type="gramEnd"/>
      <w:r w:rsidRPr="00135E27">
        <w:rPr>
          <w:rFonts w:eastAsia="Calibri" w:cs="Arial"/>
          <w:lang w:eastAsia="en-US"/>
        </w:rPr>
        <w:t xml:space="preserve"> </w:t>
      </w:r>
    </w:p>
    <w:p w14:paraId="413F8C8E" w14:textId="77777777" w:rsidR="00135E27" w:rsidRPr="00135E27" w:rsidRDefault="00135E27" w:rsidP="005065AA">
      <w:pPr>
        <w:pStyle w:val="ListParagraph"/>
        <w:tabs>
          <w:tab w:val="left" w:pos="709"/>
        </w:tabs>
        <w:spacing w:before="160" w:after="160"/>
        <w:ind w:left="709" w:hanging="425"/>
        <w:rPr>
          <w:rFonts w:eastAsia="Calibri" w:cs="Arial"/>
          <w:lang w:eastAsia="en-US"/>
        </w:rPr>
      </w:pPr>
    </w:p>
    <w:p w14:paraId="0996BF0A" w14:textId="4F5983B1" w:rsidR="00B41FAC" w:rsidRDefault="00B41FAC" w:rsidP="005065AA">
      <w:pPr>
        <w:pStyle w:val="ListParagraph"/>
        <w:numPr>
          <w:ilvl w:val="0"/>
          <w:numId w:val="53"/>
        </w:numPr>
        <w:tabs>
          <w:tab w:val="left" w:pos="709"/>
        </w:tabs>
        <w:spacing w:before="160" w:after="160"/>
        <w:ind w:left="709" w:hanging="425"/>
        <w:rPr>
          <w:rFonts w:eastAsia="Calibri" w:cs="Arial"/>
          <w:lang w:eastAsia="en-US"/>
        </w:rPr>
      </w:pPr>
      <w:r w:rsidRPr="00135E27">
        <w:rPr>
          <w:rFonts w:eastAsia="Calibri" w:cs="Arial"/>
          <w:lang w:eastAsia="en-US"/>
        </w:rPr>
        <w:t xml:space="preserve">Statement of Responsibilities – this explains the responsibilities for the financial affairs and how these responsibilities are carried </w:t>
      </w:r>
      <w:proofErr w:type="gramStart"/>
      <w:r w:rsidRPr="00135E27">
        <w:rPr>
          <w:rFonts w:eastAsia="Calibri" w:cs="Arial"/>
          <w:lang w:eastAsia="en-US"/>
        </w:rPr>
        <w:t>out</w:t>
      </w:r>
      <w:r w:rsidR="005065AA">
        <w:rPr>
          <w:rFonts w:eastAsia="Calibri" w:cs="Arial"/>
          <w:lang w:eastAsia="en-US"/>
        </w:rPr>
        <w:t>;</w:t>
      </w:r>
      <w:proofErr w:type="gramEnd"/>
      <w:r w:rsidRPr="00135E27">
        <w:rPr>
          <w:rFonts w:eastAsia="Calibri" w:cs="Arial"/>
          <w:lang w:eastAsia="en-US"/>
        </w:rPr>
        <w:t xml:space="preserve"> </w:t>
      </w:r>
    </w:p>
    <w:p w14:paraId="3B0CC896" w14:textId="77777777" w:rsidR="00135E27" w:rsidRPr="00135E27" w:rsidRDefault="00135E27" w:rsidP="005065AA">
      <w:pPr>
        <w:pStyle w:val="ListParagraph"/>
        <w:tabs>
          <w:tab w:val="left" w:pos="709"/>
        </w:tabs>
        <w:ind w:left="709" w:hanging="425"/>
        <w:rPr>
          <w:rFonts w:eastAsia="Calibri" w:cs="Arial"/>
          <w:lang w:eastAsia="en-US"/>
        </w:rPr>
      </w:pPr>
    </w:p>
    <w:p w14:paraId="307CF8C0" w14:textId="2DEA4DD3" w:rsidR="00135E27" w:rsidRPr="00135E27" w:rsidRDefault="00135E27" w:rsidP="005065AA">
      <w:pPr>
        <w:pStyle w:val="ListParagraph"/>
        <w:numPr>
          <w:ilvl w:val="0"/>
          <w:numId w:val="53"/>
        </w:numPr>
        <w:tabs>
          <w:tab w:val="left" w:pos="709"/>
        </w:tabs>
        <w:spacing w:before="160" w:after="160"/>
        <w:ind w:left="709" w:hanging="425"/>
        <w:rPr>
          <w:rFonts w:eastAsia="Calibri" w:cs="Arial"/>
          <w:lang w:eastAsia="en-US"/>
        </w:rPr>
      </w:pPr>
      <w:r w:rsidRPr="00135E27">
        <w:rPr>
          <w:rFonts w:eastAsia="Calibri" w:cs="Arial"/>
          <w:lang w:eastAsia="en-US"/>
        </w:rPr>
        <w:t>Notes to the Accounts – the notes show details supporting each of the main accounting statements, together with additional information to explain the financial transactions. Note 1 contains the Accounting Policies. The purpose of these policies is to explain the basis for the recognition, measurement and disclosure of transactions and other even</w:t>
      </w:r>
      <w:r w:rsidR="005065AA">
        <w:rPr>
          <w:rFonts w:eastAsia="Calibri" w:cs="Arial"/>
          <w:lang w:eastAsia="en-US"/>
        </w:rPr>
        <w:t xml:space="preserve">ts in the </w:t>
      </w:r>
      <w:proofErr w:type="gramStart"/>
      <w:r w:rsidR="005065AA">
        <w:rPr>
          <w:rFonts w:eastAsia="Calibri" w:cs="Arial"/>
          <w:lang w:eastAsia="en-US"/>
        </w:rPr>
        <w:t>accounts;</w:t>
      </w:r>
      <w:proofErr w:type="gramEnd"/>
      <w:r w:rsidRPr="00135E27">
        <w:rPr>
          <w:rFonts w:eastAsia="Calibri" w:cs="Arial"/>
          <w:lang w:eastAsia="en-US"/>
        </w:rPr>
        <w:t xml:space="preserve"> </w:t>
      </w:r>
    </w:p>
    <w:p w14:paraId="217906F6" w14:textId="77777777" w:rsidR="00135E27" w:rsidRPr="00135E27" w:rsidRDefault="00135E27" w:rsidP="005065AA">
      <w:pPr>
        <w:pStyle w:val="ListParagraph"/>
        <w:tabs>
          <w:tab w:val="left" w:pos="709"/>
        </w:tabs>
        <w:spacing w:before="160" w:after="160"/>
        <w:ind w:left="709" w:hanging="425"/>
        <w:rPr>
          <w:rFonts w:eastAsia="Calibri" w:cs="Arial"/>
          <w:lang w:eastAsia="en-US"/>
        </w:rPr>
      </w:pPr>
    </w:p>
    <w:p w14:paraId="5C44B7B3" w14:textId="77777777" w:rsidR="00B41FAC" w:rsidRPr="00135E27" w:rsidRDefault="00B41FAC" w:rsidP="005065AA">
      <w:pPr>
        <w:pStyle w:val="ListParagraph"/>
        <w:numPr>
          <w:ilvl w:val="0"/>
          <w:numId w:val="53"/>
        </w:numPr>
        <w:tabs>
          <w:tab w:val="left" w:pos="709"/>
        </w:tabs>
        <w:spacing w:before="160" w:after="160"/>
        <w:ind w:left="709" w:hanging="425"/>
        <w:rPr>
          <w:rFonts w:eastAsia="Calibri" w:cs="Arial"/>
          <w:lang w:eastAsia="en-US"/>
        </w:rPr>
      </w:pPr>
      <w:r w:rsidRPr="00135E27">
        <w:rPr>
          <w:rFonts w:eastAsia="Calibri" w:cs="Arial"/>
          <w:lang w:eastAsia="en-US"/>
        </w:rPr>
        <w:t xml:space="preserve">Police Officer Pensions, Home Office Memorandum Account – this summarises the transactions relating to retirement benefits paid to police officers and how these costs are financed. </w:t>
      </w:r>
    </w:p>
    <w:p w14:paraId="1302F7C1" w14:textId="77777777" w:rsidR="00B41FAC" w:rsidRPr="00B41FAC" w:rsidRDefault="00B41FAC" w:rsidP="00B41FAC">
      <w:pPr>
        <w:autoSpaceDE w:val="0"/>
        <w:autoSpaceDN w:val="0"/>
        <w:adjustRightInd w:val="0"/>
        <w:spacing w:before="0" w:after="0"/>
        <w:ind w:left="0"/>
        <w:rPr>
          <w:rFonts w:cs="Arial"/>
          <w:b/>
          <w:bCs/>
          <w:color w:val="auto"/>
          <w:lang w:eastAsia="en-US"/>
        </w:rPr>
      </w:pPr>
      <w:r w:rsidRPr="00B41FAC">
        <w:rPr>
          <w:rFonts w:cs="Arial"/>
          <w:b/>
          <w:bCs/>
          <w:color w:val="auto"/>
          <w:lang w:eastAsia="en-US"/>
        </w:rPr>
        <w:t xml:space="preserve">Relationship between accounting statements </w:t>
      </w:r>
    </w:p>
    <w:p w14:paraId="73E75C16" w14:textId="77777777" w:rsidR="00B41FAC" w:rsidRPr="00B41FAC" w:rsidRDefault="00B41FAC" w:rsidP="00B41FAC">
      <w:pPr>
        <w:ind w:left="0"/>
        <w:rPr>
          <w:rFonts w:cs="Arial"/>
          <w:szCs w:val="24"/>
          <w:lang w:eastAsia="en-US"/>
        </w:rPr>
      </w:pPr>
      <w:r w:rsidRPr="00B41FAC">
        <w:rPr>
          <w:rFonts w:cs="Arial"/>
          <w:szCs w:val="24"/>
          <w:lang w:eastAsia="en-US"/>
        </w:rPr>
        <w:t xml:space="preserve">The different accounting statements are linked in several important ways. The relationship between the Comprehensive Income and Expenditure Statement and the movement in the total reserves is shown in the Movement in Reserves Statement. </w:t>
      </w:r>
    </w:p>
    <w:p w14:paraId="0DC4A1F2" w14:textId="77777777" w:rsidR="00B41FAC" w:rsidRPr="00B41FAC" w:rsidRDefault="00B41FAC" w:rsidP="00B41FAC">
      <w:pPr>
        <w:ind w:left="0"/>
        <w:rPr>
          <w:rFonts w:cs="Arial"/>
          <w:szCs w:val="24"/>
          <w:lang w:eastAsia="en-US"/>
        </w:rPr>
      </w:pPr>
      <w:r w:rsidRPr="00B41FAC">
        <w:rPr>
          <w:rFonts w:cs="Arial"/>
          <w:szCs w:val="24"/>
          <w:lang w:eastAsia="en-US"/>
        </w:rPr>
        <w:t xml:space="preserve">The Cash Flow statement reconciles to the balance on the Comprehensive Income and Expenditure Statement for the year and the movement in the Balance Sheet cash and cash equivalents. </w:t>
      </w:r>
    </w:p>
    <w:p w14:paraId="4B856E65" w14:textId="77777777" w:rsidR="00B41FAC" w:rsidRPr="00B41FAC" w:rsidRDefault="00B41FAC" w:rsidP="00B41FAC">
      <w:pPr>
        <w:ind w:left="0"/>
        <w:rPr>
          <w:rFonts w:cs="Arial"/>
          <w:szCs w:val="24"/>
          <w:lang w:eastAsia="en-US"/>
        </w:rPr>
      </w:pPr>
      <w:r w:rsidRPr="00B41FAC">
        <w:rPr>
          <w:rFonts w:cs="Arial"/>
          <w:szCs w:val="24"/>
          <w:lang w:eastAsia="en-US"/>
        </w:rPr>
        <w:t>The Expenditure and Funding Analysis shows how the expenditure is allocated for decision making purposes between the directorates within the Force.</w:t>
      </w:r>
    </w:p>
    <w:p w14:paraId="58E8FC58" w14:textId="264A5555" w:rsidR="00B41FAC" w:rsidRPr="00B41FAC" w:rsidRDefault="00B41FAC" w:rsidP="00B41FAC">
      <w:pPr>
        <w:ind w:left="0"/>
        <w:rPr>
          <w:rFonts w:cs="Arial"/>
          <w:b/>
          <w:szCs w:val="24"/>
          <w:lang w:eastAsia="en-US"/>
        </w:rPr>
      </w:pPr>
    </w:p>
    <w:p w14:paraId="7D25AC22" w14:textId="77777777" w:rsidR="00B41FAC" w:rsidRPr="00B41FAC" w:rsidRDefault="00B41FAC" w:rsidP="00B41FAC">
      <w:pPr>
        <w:ind w:left="0"/>
        <w:rPr>
          <w:rFonts w:eastAsia="Calibri" w:cs="Times New Roman"/>
          <w:szCs w:val="24"/>
          <w:lang w:eastAsia="en-US"/>
        </w:rPr>
      </w:pPr>
    </w:p>
    <w:p w14:paraId="29499155" w14:textId="77777777" w:rsidR="00B41FAC" w:rsidRPr="00B41FAC" w:rsidRDefault="00B41FAC" w:rsidP="00B41FAC">
      <w:pPr>
        <w:spacing w:before="0" w:after="0"/>
        <w:ind w:left="0"/>
        <w:rPr>
          <w:rFonts w:eastAsia="Calibri" w:cs="Times New Roman"/>
          <w:szCs w:val="24"/>
          <w:lang w:eastAsia="en-US"/>
        </w:rPr>
      </w:pPr>
    </w:p>
    <w:p w14:paraId="29653D12" w14:textId="77777777" w:rsidR="00B41FAC" w:rsidRPr="00B41FAC" w:rsidRDefault="00B41FAC" w:rsidP="00B41FAC">
      <w:pPr>
        <w:spacing w:before="0" w:after="0"/>
        <w:ind w:left="0"/>
        <w:rPr>
          <w:rFonts w:eastAsia="Calibri" w:cs="Times New Roman"/>
          <w:szCs w:val="24"/>
          <w:lang w:eastAsia="en-US"/>
        </w:rPr>
      </w:pPr>
    </w:p>
    <w:p w14:paraId="2BE499A8" w14:textId="77777777" w:rsidR="00B41FAC" w:rsidRPr="00B41FAC" w:rsidRDefault="00B41FAC" w:rsidP="00B41FAC">
      <w:pPr>
        <w:tabs>
          <w:tab w:val="left" w:pos="284"/>
        </w:tabs>
        <w:spacing w:before="0" w:after="0"/>
        <w:ind w:left="0"/>
        <w:rPr>
          <w:rFonts w:eastAsia="Times New Roman" w:cs="Times New Roman"/>
          <w:szCs w:val="24"/>
          <w:lang w:eastAsia="en-US"/>
        </w:rPr>
      </w:pPr>
      <w:r w:rsidRPr="00B41FAC">
        <w:rPr>
          <w:rFonts w:eastAsia="Times New Roman" w:cs="Times New Roman"/>
          <w:szCs w:val="24"/>
          <w:lang w:eastAsia="en-US"/>
        </w:rPr>
        <w:t>_________________________________</w:t>
      </w:r>
    </w:p>
    <w:p w14:paraId="7BE78BC2" w14:textId="77777777" w:rsidR="00B41FAC" w:rsidRPr="00B41FAC" w:rsidRDefault="00B41FAC" w:rsidP="00B41FAC">
      <w:pPr>
        <w:spacing w:before="0" w:after="0"/>
        <w:ind w:left="0"/>
        <w:rPr>
          <w:rFonts w:eastAsia="Calibri" w:cs="Times New Roman"/>
          <w:szCs w:val="24"/>
          <w:lang w:eastAsia="en-US"/>
        </w:rPr>
      </w:pPr>
    </w:p>
    <w:p w14:paraId="7CE9877C" w14:textId="77777777" w:rsidR="00B41FAC" w:rsidRPr="00B41FAC" w:rsidRDefault="00B41FAC" w:rsidP="00B41FAC">
      <w:pPr>
        <w:spacing w:before="0" w:after="0"/>
        <w:ind w:left="0"/>
        <w:rPr>
          <w:rFonts w:eastAsia="Calibri" w:cs="Times New Roman"/>
          <w:szCs w:val="24"/>
          <w:lang w:eastAsia="en-US"/>
        </w:rPr>
      </w:pPr>
      <w:r w:rsidRPr="00B41FAC">
        <w:rPr>
          <w:rFonts w:eastAsia="Calibri" w:cs="Times New Roman"/>
          <w:szCs w:val="24"/>
          <w:lang w:eastAsia="en-US"/>
        </w:rPr>
        <w:t>Sharon Clark FCA BA</w:t>
      </w:r>
    </w:p>
    <w:p w14:paraId="585492AE" w14:textId="77777777" w:rsidR="00616E39" w:rsidRDefault="00616E39" w:rsidP="00616E39">
      <w:pPr>
        <w:spacing w:before="0" w:after="0"/>
        <w:ind w:left="0"/>
        <w:rPr>
          <w:rFonts w:eastAsia="Calibri" w:cs="Times New Roman"/>
          <w:szCs w:val="24"/>
          <w:lang w:eastAsia="en-US"/>
        </w:rPr>
      </w:pPr>
      <w:r>
        <w:rPr>
          <w:rFonts w:eastAsia="Calibri" w:cs="Times New Roman"/>
          <w:szCs w:val="24"/>
          <w:lang w:eastAsia="en-US"/>
        </w:rPr>
        <w:t>Director of Finance &amp; Corporate Services (S151)</w:t>
      </w:r>
    </w:p>
    <w:p w14:paraId="3F8C12B3" w14:textId="77777777" w:rsidR="00616E39" w:rsidRDefault="00616E39" w:rsidP="00616E39">
      <w:pPr>
        <w:spacing w:before="0" w:after="0"/>
        <w:ind w:left="0"/>
        <w:rPr>
          <w:rFonts w:eastAsia="Calibri" w:cs="Times New Roman"/>
          <w:szCs w:val="24"/>
          <w:lang w:eastAsia="en-US"/>
        </w:rPr>
      </w:pPr>
    </w:p>
    <w:p w14:paraId="7BB62FAC" w14:textId="0BFDFFF8" w:rsidR="00616E39" w:rsidRPr="002A3E20" w:rsidRDefault="00616E39" w:rsidP="00616E39">
      <w:pPr>
        <w:spacing w:before="0" w:after="0"/>
        <w:ind w:left="0"/>
        <w:rPr>
          <w:rFonts w:eastAsia="Calibri" w:cs="Times New Roman"/>
          <w:szCs w:val="24"/>
          <w:lang w:eastAsia="en-US"/>
        </w:rPr>
      </w:pPr>
      <w:r>
        <w:rPr>
          <w:rFonts w:eastAsia="Calibri" w:cs="Times New Roman"/>
          <w:szCs w:val="24"/>
          <w:lang w:eastAsia="en-US"/>
        </w:rPr>
        <w:t xml:space="preserve">Date </w:t>
      </w:r>
      <w:r w:rsidR="003620BD">
        <w:t>6 October 2023</w:t>
      </w:r>
    </w:p>
    <w:p w14:paraId="5B32034E" w14:textId="77777777" w:rsidR="00B41FAC" w:rsidRPr="00B41FAC" w:rsidRDefault="00B41FAC" w:rsidP="00B41FAC">
      <w:pPr>
        <w:tabs>
          <w:tab w:val="left" w:pos="284"/>
        </w:tabs>
        <w:ind w:left="284"/>
        <w:rPr>
          <w:rFonts w:eastAsia="Times New Roman" w:cs="Times New Roman"/>
          <w:szCs w:val="24"/>
          <w:lang w:eastAsia="en-GB"/>
        </w:rPr>
      </w:pPr>
    </w:p>
    <w:p w14:paraId="01835739" w14:textId="6E844F75" w:rsidR="00BC385F" w:rsidRPr="00B561EB" w:rsidRDefault="00B41FAC" w:rsidP="00754431">
      <w:pPr>
        <w:spacing w:before="0" w:after="200" w:line="276" w:lineRule="auto"/>
        <w:ind w:left="0"/>
        <w:jc w:val="left"/>
      </w:pPr>
      <w:r>
        <w:br w:type="page"/>
      </w:r>
      <w:bookmarkStart w:id="38" w:name="_Toc144279257"/>
      <w:r w:rsidR="00BC385F" w:rsidRPr="00754431">
        <w:rPr>
          <w:b/>
          <w:bCs/>
        </w:rPr>
        <w:lastRenderedPageBreak/>
        <w:t>Statement of Responsibilities for the Statements of Accounts</w:t>
      </w:r>
      <w:bookmarkEnd w:id="28"/>
      <w:bookmarkEnd w:id="29"/>
      <w:bookmarkEnd w:id="38"/>
    </w:p>
    <w:p w14:paraId="26B5C6D4" w14:textId="77777777" w:rsidR="0074364D" w:rsidRDefault="0074364D" w:rsidP="00806A0D">
      <w:pPr>
        <w:ind w:left="0"/>
      </w:pPr>
      <w:r w:rsidRPr="00F47CDE">
        <w:t>This section explains the Chief Constable’s responsibilities for the stewardship of his financial affairs.</w:t>
      </w:r>
    </w:p>
    <w:tbl>
      <w:tblPr>
        <w:tblStyle w:val="TableGrid"/>
        <w:tblW w:w="9498"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none" w:sz="0" w:space="0" w:color="auto"/>
          <w:insideV w:val="single" w:sz="4" w:space="0" w:color="A6A6A6" w:themeColor="background1" w:themeShade="A6"/>
        </w:tblBorders>
        <w:tblLook w:val="04A0" w:firstRow="1" w:lastRow="0" w:firstColumn="1" w:lastColumn="0" w:noHBand="0" w:noVBand="1"/>
      </w:tblPr>
      <w:tblGrid>
        <w:gridCol w:w="4678"/>
        <w:gridCol w:w="4820"/>
      </w:tblGrid>
      <w:tr w:rsidR="0074364D" w:rsidRPr="0074364D" w14:paraId="7391DFF0" w14:textId="77777777" w:rsidTr="00493AFA">
        <w:tc>
          <w:tcPr>
            <w:tcW w:w="4678" w:type="dxa"/>
          </w:tcPr>
          <w:p w14:paraId="2699716F" w14:textId="77777777" w:rsidR="0074364D" w:rsidRPr="00806A0D" w:rsidRDefault="0074364D" w:rsidP="00806A0D">
            <w:pPr>
              <w:spacing w:before="120" w:after="120"/>
              <w:ind w:left="0"/>
              <w:rPr>
                <w:sz w:val="18"/>
                <w:szCs w:val="18"/>
                <w:lang w:eastAsia="en-GB"/>
              </w:rPr>
            </w:pPr>
            <w:r w:rsidRPr="00806A0D">
              <w:rPr>
                <w:sz w:val="18"/>
                <w:szCs w:val="18"/>
                <w:lang w:eastAsia="en-GB"/>
              </w:rPr>
              <w:t>Responsibilities of the Chief Constable</w:t>
            </w:r>
          </w:p>
          <w:p w14:paraId="67A17A10" w14:textId="77777777" w:rsidR="0074364D" w:rsidRPr="00806A0D" w:rsidRDefault="0074364D" w:rsidP="00806A0D">
            <w:pPr>
              <w:spacing w:before="120" w:after="120"/>
              <w:ind w:left="0"/>
              <w:rPr>
                <w:sz w:val="18"/>
                <w:szCs w:val="18"/>
                <w:lang w:eastAsia="en-GB"/>
              </w:rPr>
            </w:pPr>
            <w:r w:rsidRPr="00806A0D">
              <w:rPr>
                <w:sz w:val="18"/>
                <w:szCs w:val="18"/>
                <w:lang w:eastAsia="en-GB"/>
              </w:rPr>
              <w:t>The Chief Constable is required to:</w:t>
            </w:r>
          </w:p>
          <w:p w14:paraId="38D4ABFD" w14:textId="77777777" w:rsidR="0074364D" w:rsidRPr="00806A0D" w:rsidRDefault="0074364D" w:rsidP="00806A0D">
            <w:pPr>
              <w:pStyle w:val="ListParagraph"/>
              <w:numPr>
                <w:ilvl w:val="0"/>
                <w:numId w:val="1"/>
              </w:numPr>
              <w:tabs>
                <w:tab w:val="left" w:pos="318"/>
              </w:tabs>
              <w:spacing w:before="120" w:after="120"/>
              <w:ind w:left="318" w:hanging="284"/>
              <w:rPr>
                <w:rFonts w:eastAsia="Calibri"/>
                <w:sz w:val="18"/>
                <w:szCs w:val="18"/>
              </w:rPr>
            </w:pPr>
            <w:r w:rsidRPr="00806A0D">
              <w:rPr>
                <w:rFonts w:eastAsia="Calibri"/>
                <w:sz w:val="18"/>
                <w:szCs w:val="18"/>
              </w:rPr>
              <w:t xml:space="preserve">make arrangements for the proper administration of the financial affairs of Lincolnshire Police and to secure that one of its officers has the responsibility for the administration of those affairs, which for the Chief Constable is the Force Chief Finance </w:t>
            </w:r>
            <w:proofErr w:type="gramStart"/>
            <w:r w:rsidRPr="00806A0D">
              <w:rPr>
                <w:rFonts w:eastAsia="Calibri"/>
                <w:sz w:val="18"/>
                <w:szCs w:val="18"/>
              </w:rPr>
              <w:t>Officer;</w:t>
            </w:r>
            <w:proofErr w:type="gramEnd"/>
          </w:p>
          <w:p w14:paraId="51D6E7EB" w14:textId="77777777" w:rsidR="0074364D" w:rsidRPr="00806A0D" w:rsidRDefault="0074364D" w:rsidP="00806A0D">
            <w:pPr>
              <w:pStyle w:val="ListParagraph"/>
              <w:numPr>
                <w:ilvl w:val="0"/>
                <w:numId w:val="1"/>
              </w:numPr>
              <w:tabs>
                <w:tab w:val="left" w:pos="318"/>
              </w:tabs>
              <w:spacing w:before="120" w:after="120"/>
              <w:ind w:left="318" w:hanging="284"/>
              <w:rPr>
                <w:rFonts w:eastAsia="Calibri"/>
                <w:sz w:val="18"/>
                <w:szCs w:val="18"/>
              </w:rPr>
            </w:pPr>
            <w:r w:rsidRPr="00806A0D">
              <w:rPr>
                <w:rFonts w:eastAsia="Calibri"/>
                <w:sz w:val="18"/>
                <w:szCs w:val="18"/>
              </w:rPr>
              <w:t>to manage affairs of Lincolnshire Police to secure economic, efficient and effective use of resources and to safeguard its assets; and</w:t>
            </w:r>
          </w:p>
          <w:p w14:paraId="3C8C0880" w14:textId="77777777" w:rsidR="0074364D" w:rsidRPr="00806A0D" w:rsidRDefault="0074364D" w:rsidP="00806A0D">
            <w:pPr>
              <w:pStyle w:val="ListParagraph"/>
              <w:numPr>
                <w:ilvl w:val="0"/>
                <w:numId w:val="1"/>
              </w:numPr>
              <w:tabs>
                <w:tab w:val="left" w:pos="318"/>
              </w:tabs>
              <w:spacing w:before="120" w:after="120"/>
              <w:ind w:left="318" w:hanging="284"/>
              <w:rPr>
                <w:rFonts w:eastAsia="Calibri"/>
                <w:sz w:val="18"/>
                <w:szCs w:val="18"/>
              </w:rPr>
            </w:pPr>
            <w:r w:rsidRPr="00806A0D">
              <w:rPr>
                <w:rFonts w:eastAsia="Calibri"/>
                <w:sz w:val="18"/>
                <w:szCs w:val="18"/>
              </w:rPr>
              <w:t>approve the Statement of Accounts.</w:t>
            </w:r>
          </w:p>
          <w:p w14:paraId="632EE014" w14:textId="77777777" w:rsidR="0074364D" w:rsidRPr="00806A0D" w:rsidRDefault="0074364D" w:rsidP="00806A0D">
            <w:pPr>
              <w:spacing w:before="120" w:after="120"/>
              <w:ind w:left="0"/>
              <w:rPr>
                <w:sz w:val="18"/>
                <w:szCs w:val="18"/>
                <w:lang w:eastAsia="en-GB"/>
              </w:rPr>
            </w:pPr>
          </w:p>
        </w:tc>
        <w:tc>
          <w:tcPr>
            <w:tcW w:w="4820" w:type="dxa"/>
          </w:tcPr>
          <w:p w14:paraId="18574758" w14:textId="77777777" w:rsidR="0074364D" w:rsidRPr="00806A0D" w:rsidRDefault="0074364D" w:rsidP="00806A0D">
            <w:pPr>
              <w:spacing w:before="120" w:after="120"/>
              <w:ind w:left="0"/>
              <w:rPr>
                <w:sz w:val="18"/>
                <w:szCs w:val="18"/>
                <w:lang w:eastAsia="en-GB"/>
              </w:rPr>
            </w:pPr>
            <w:r w:rsidRPr="00806A0D">
              <w:rPr>
                <w:sz w:val="18"/>
                <w:szCs w:val="18"/>
                <w:lang w:eastAsia="en-GB"/>
              </w:rPr>
              <w:t xml:space="preserve">Responsibilities of the Force Chief Finance Officer </w:t>
            </w:r>
          </w:p>
          <w:p w14:paraId="6758B9E8" w14:textId="77777777" w:rsidR="0074364D" w:rsidRPr="00806A0D" w:rsidRDefault="0074364D" w:rsidP="00806A0D">
            <w:pPr>
              <w:spacing w:before="120" w:after="120"/>
              <w:ind w:left="0"/>
              <w:rPr>
                <w:sz w:val="18"/>
                <w:szCs w:val="18"/>
                <w:lang w:eastAsia="en-GB"/>
              </w:rPr>
            </w:pPr>
            <w:r w:rsidRPr="00806A0D">
              <w:rPr>
                <w:sz w:val="18"/>
                <w:szCs w:val="18"/>
                <w:lang w:eastAsia="en-GB"/>
              </w:rPr>
              <w:t>The Force Chief Finance Officer is responsible for the preparation of the Chief Constable’s Statement of Accounts in accordance with the CIPFA/LASAAC Code of Practice on Local Authority Accounting in the United Kingdom (the Code).</w:t>
            </w:r>
          </w:p>
          <w:p w14:paraId="51E0E94C" w14:textId="77777777" w:rsidR="0074364D" w:rsidRPr="00806A0D" w:rsidRDefault="0074364D" w:rsidP="00806A0D">
            <w:pPr>
              <w:spacing w:before="120" w:after="120"/>
              <w:ind w:left="0"/>
              <w:rPr>
                <w:sz w:val="18"/>
                <w:szCs w:val="18"/>
                <w:lang w:eastAsia="en-GB"/>
              </w:rPr>
            </w:pPr>
            <w:r w:rsidRPr="00806A0D">
              <w:rPr>
                <w:sz w:val="18"/>
                <w:szCs w:val="18"/>
                <w:lang w:eastAsia="en-GB"/>
              </w:rPr>
              <w:t>In preparing this Statement of Accounts, the Force Chief Finance Officer has:</w:t>
            </w:r>
          </w:p>
          <w:p w14:paraId="3C62F7A7" w14:textId="77777777" w:rsidR="0074364D" w:rsidRPr="00806A0D" w:rsidRDefault="0074364D" w:rsidP="00806A0D">
            <w:pPr>
              <w:pStyle w:val="ListParagraph"/>
              <w:numPr>
                <w:ilvl w:val="0"/>
                <w:numId w:val="1"/>
              </w:numPr>
              <w:tabs>
                <w:tab w:val="left" w:pos="317"/>
              </w:tabs>
              <w:spacing w:before="120" w:after="120"/>
              <w:ind w:left="317" w:hanging="317"/>
              <w:rPr>
                <w:rFonts w:eastAsia="Calibri"/>
                <w:sz w:val="18"/>
                <w:szCs w:val="18"/>
              </w:rPr>
            </w:pPr>
            <w:r w:rsidRPr="00806A0D">
              <w:rPr>
                <w:rFonts w:eastAsia="Calibri"/>
                <w:sz w:val="18"/>
                <w:szCs w:val="18"/>
              </w:rPr>
              <w:t xml:space="preserve">selected suitable accounting policies and then applied them </w:t>
            </w:r>
            <w:proofErr w:type="gramStart"/>
            <w:r w:rsidRPr="00806A0D">
              <w:rPr>
                <w:rFonts w:eastAsia="Calibri"/>
                <w:sz w:val="18"/>
                <w:szCs w:val="18"/>
              </w:rPr>
              <w:t>consistently;</w:t>
            </w:r>
            <w:proofErr w:type="gramEnd"/>
          </w:p>
          <w:p w14:paraId="3BC3A2DA" w14:textId="77777777" w:rsidR="0074364D" w:rsidRPr="00806A0D" w:rsidRDefault="0074364D" w:rsidP="00806A0D">
            <w:pPr>
              <w:pStyle w:val="ListParagraph"/>
              <w:numPr>
                <w:ilvl w:val="0"/>
                <w:numId w:val="1"/>
              </w:numPr>
              <w:tabs>
                <w:tab w:val="left" w:pos="317"/>
              </w:tabs>
              <w:spacing w:before="120" w:after="120"/>
              <w:ind w:left="317" w:hanging="317"/>
              <w:rPr>
                <w:rFonts w:eastAsia="Calibri"/>
                <w:sz w:val="18"/>
                <w:szCs w:val="18"/>
              </w:rPr>
            </w:pPr>
            <w:r w:rsidRPr="00806A0D">
              <w:rPr>
                <w:rFonts w:eastAsia="Calibri"/>
                <w:sz w:val="18"/>
                <w:szCs w:val="18"/>
              </w:rPr>
              <w:t xml:space="preserve">made judgements and estimates that were reasonable and </w:t>
            </w:r>
            <w:proofErr w:type="gramStart"/>
            <w:r w:rsidRPr="00806A0D">
              <w:rPr>
                <w:rFonts w:eastAsia="Calibri"/>
                <w:sz w:val="18"/>
                <w:szCs w:val="18"/>
              </w:rPr>
              <w:t>prudent;</w:t>
            </w:r>
            <w:proofErr w:type="gramEnd"/>
            <w:r w:rsidRPr="00806A0D">
              <w:rPr>
                <w:rFonts w:eastAsia="Calibri"/>
                <w:sz w:val="18"/>
                <w:szCs w:val="18"/>
              </w:rPr>
              <w:t xml:space="preserve"> </w:t>
            </w:r>
          </w:p>
          <w:p w14:paraId="5B4B4F39" w14:textId="77777777" w:rsidR="0074364D" w:rsidRPr="00806A0D" w:rsidRDefault="0074364D" w:rsidP="00806A0D">
            <w:pPr>
              <w:pStyle w:val="ListParagraph"/>
              <w:numPr>
                <w:ilvl w:val="0"/>
                <w:numId w:val="1"/>
              </w:numPr>
              <w:tabs>
                <w:tab w:val="left" w:pos="317"/>
              </w:tabs>
              <w:spacing w:before="120" w:after="120"/>
              <w:ind w:left="317" w:hanging="317"/>
              <w:rPr>
                <w:rFonts w:eastAsia="Calibri"/>
                <w:sz w:val="18"/>
                <w:szCs w:val="18"/>
              </w:rPr>
            </w:pPr>
            <w:r w:rsidRPr="00806A0D">
              <w:rPr>
                <w:rFonts w:eastAsia="Calibri"/>
                <w:sz w:val="18"/>
                <w:szCs w:val="18"/>
              </w:rPr>
              <w:t xml:space="preserve">complied with the </w:t>
            </w:r>
            <w:proofErr w:type="gramStart"/>
            <w:r w:rsidRPr="00806A0D">
              <w:rPr>
                <w:rFonts w:eastAsia="Calibri"/>
                <w:sz w:val="18"/>
                <w:szCs w:val="18"/>
              </w:rPr>
              <w:t>Code;</w:t>
            </w:r>
            <w:proofErr w:type="gramEnd"/>
          </w:p>
          <w:p w14:paraId="732B293A" w14:textId="77777777" w:rsidR="0074364D" w:rsidRPr="00806A0D" w:rsidRDefault="0074364D" w:rsidP="00806A0D">
            <w:pPr>
              <w:pStyle w:val="ListParagraph"/>
              <w:numPr>
                <w:ilvl w:val="0"/>
                <w:numId w:val="1"/>
              </w:numPr>
              <w:tabs>
                <w:tab w:val="left" w:pos="317"/>
              </w:tabs>
              <w:spacing w:before="120" w:after="120"/>
              <w:ind w:left="317" w:hanging="317"/>
              <w:rPr>
                <w:rFonts w:eastAsia="Calibri"/>
                <w:sz w:val="18"/>
                <w:szCs w:val="18"/>
              </w:rPr>
            </w:pPr>
            <w:r w:rsidRPr="00806A0D">
              <w:rPr>
                <w:rFonts w:eastAsia="Calibri"/>
                <w:sz w:val="18"/>
                <w:szCs w:val="18"/>
              </w:rPr>
              <w:t xml:space="preserve">kept proper accounting records which were up to </w:t>
            </w:r>
            <w:proofErr w:type="gramStart"/>
            <w:r w:rsidRPr="00806A0D">
              <w:rPr>
                <w:rFonts w:eastAsia="Calibri"/>
                <w:sz w:val="18"/>
                <w:szCs w:val="18"/>
              </w:rPr>
              <w:t>date;</w:t>
            </w:r>
            <w:proofErr w:type="gramEnd"/>
          </w:p>
          <w:p w14:paraId="59D98902" w14:textId="77777777" w:rsidR="0074364D" w:rsidRPr="00806A0D" w:rsidRDefault="0074364D" w:rsidP="00806A0D">
            <w:pPr>
              <w:pStyle w:val="ListParagraph"/>
              <w:numPr>
                <w:ilvl w:val="0"/>
                <w:numId w:val="1"/>
              </w:numPr>
              <w:tabs>
                <w:tab w:val="left" w:pos="317"/>
              </w:tabs>
              <w:spacing w:before="120" w:after="120"/>
              <w:ind w:left="317" w:hanging="317"/>
              <w:rPr>
                <w:rFonts w:eastAsia="Calibri"/>
                <w:sz w:val="18"/>
                <w:szCs w:val="18"/>
              </w:rPr>
            </w:pPr>
            <w:r w:rsidRPr="00806A0D">
              <w:rPr>
                <w:rFonts w:eastAsia="Calibri"/>
                <w:sz w:val="18"/>
                <w:szCs w:val="18"/>
              </w:rPr>
              <w:t xml:space="preserve">taken reasonable steps for the prevention and detection of fraud and other </w:t>
            </w:r>
            <w:proofErr w:type="gramStart"/>
            <w:r w:rsidRPr="00806A0D">
              <w:rPr>
                <w:rFonts w:eastAsia="Calibri"/>
                <w:sz w:val="18"/>
                <w:szCs w:val="18"/>
              </w:rPr>
              <w:t>irregularities;</w:t>
            </w:r>
            <w:proofErr w:type="gramEnd"/>
          </w:p>
          <w:p w14:paraId="096A0425" w14:textId="77777777" w:rsidR="0074364D" w:rsidRPr="00806A0D" w:rsidRDefault="0074364D" w:rsidP="00806A0D">
            <w:pPr>
              <w:pStyle w:val="ListParagraph"/>
              <w:numPr>
                <w:ilvl w:val="0"/>
                <w:numId w:val="1"/>
              </w:numPr>
              <w:tabs>
                <w:tab w:val="left" w:pos="317"/>
              </w:tabs>
              <w:spacing w:before="120" w:after="120"/>
              <w:ind w:left="317" w:hanging="317"/>
              <w:rPr>
                <w:rFonts w:eastAsia="Calibri"/>
                <w:sz w:val="18"/>
                <w:szCs w:val="18"/>
              </w:rPr>
            </w:pPr>
            <w:r w:rsidRPr="00806A0D">
              <w:rPr>
                <w:rFonts w:eastAsia="Calibri"/>
                <w:sz w:val="18"/>
                <w:szCs w:val="18"/>
              </w:rPr>
              <w:t xml:space="preserve">assessed the Chief Constable’s ability to continue as a going concern disclosing, as applicable, matters related to going </w:t>
            </w:r>
            <w:proofErr w:type="gramStart"/>
            <w:r w:rsidRPr="00806A0D">
              <w:rPr>
                <w:rFonts w:eastAsia="Calibri"/>
                <w:sz w:val="18"/>
                <w:szCs w:val="18"/>
              </w:rPr>
              <w:t>concern;</w:t>
            </w:r>
            <w:proofErr w:type="gramEnd"/>
          </w:p>
          <w:p w14:paraId="432DC0EE" w14:textId="77777777" w:rsidR="0074364D" w:rsidRPr="00806A0D" w:rsidRDefault="0074364D" w:rsidP="00806A0D">
            <w:pPr>
              <w:pStyle w:val="ListParagraph"/>
              <w:numPr>
                <w:ilvl w:val="0"/>
                <w:numId w:val="1"/>
              </w:numPr>
              <w:tabs>
                <w:tab w:val="left" w:pos="317"/>
              </w:tabs>
              <w:spacing w:before="120" w:after="120"/>
              <w:ind w:left="317" w:hanging="317"/>
              <w:rPr>
                <w:rFonts w:eastAsia="Calibri"/>
                <w:sz w:val="18"/>
                <w:szCs w:val="18"/>
              </w:rPr>
            </w:pPr>
            <w:r w:rsidRPr="00806A0D">
              <w:rPr>
                <w:rFonts w:eastAsia="Calibri"/>
                <w:sz w:val="18"/>
                <w:szCs w:val="18"/>
              </w:rPr>
              <w:t>used the going concern basis of accounting on the assumption that the functions of the Chief Constable will continue in operational existence for the foreseeable future; and</w:t>
            </w:r>
          </w:p>
          <w:p w14:paraId="4D4F3ADC" w14:textId="77777777" w:rsidR="0074364D" w:rsidRPr="00806A0D" w:rsidRDefault="0074364D" w:rsidP="00806A0D">
            <w:pPr>
              <w:pStyle w:val="ListParagraph"/>
              <w:numPr>
                <w:ilvl w:val="0"/>
                <w:numId w:val="1"/>
              </w:numPr>
              <w:tabs>
                <w:tab w:val="left" w:pos="317"/>
              </w:tabs>
              <w:spacing w:before="120" w:after="120"/>
              <w:ind w:left="317" w:hanging="317"/>
              <w:rPr>
                <w:rFonts w:eastAsia="Calibri"/>
                <w:sz w:val="18"/>
                <w:szCs w:val="18"/>
              </w:rPr>
            </w:pPr>
            <w:r w:rsidRPr="00806A0D">
              <w:rPr>
                <w:rFonts w:eastAsia="Calibri"/>
                <w:sz w:val="18"/>
                <w:szCs w:val="18"/>
              </w:rPr>
              <w:t>maintained such internal control as they determine necessary to enable the preparation of financial statements that are free from material misstatements, whether due to fraud or error.</w:t>
            </w:r>
          </w:p>
        </w:tc>
      </w:tr>
      <w:tr w:rsidR="0074364D" w:rsidRPr="0074364D" w14:paraId="6B2E37F7" w14:textId="77777777" w:rsidTr="00493AFA">
        <w:tblPrEx>
          <w:tblBorders>
            <w:top w:val="single" w:sz="4" w:space="0" w:color="A6A6A6"/>
            <w:left w:val="single" w:sz="4" w:space="0" w:color="A6A6A6"/>
            <w:bottom w:val="single" w:sz="4" w:space="0" w:color="A6A6A6"/>
            <w:right w:val="single" w:sz="4" w:space="0" w:color="A6A6A6"/>
            <w:insideV w:val="single" w:sz="4" w:space="0" w:color="A6A6A6"/>
          </w:tblBorders>
        </w:tblPrEx>
        <w:tc>
          <w:tcPr>
            <w:tcW w:w="4678" w:type="dxa"/>
            <w:tcBorders>
              <w:top w:val="single" w:sz="4" w:space="0" w:color="A6A6A6"/>
              <w:bottom w:val="single" w:sz="4" w:space="0" w:color="A6A6A6"/>
            </w:tcBorders>
          </w:tcPr>
          <w:p w14:paraId="3E48E81C" w14:textId="77777777" w:rsidR="0074364D" w:rsidRPr="00806A0D" w:rsidRDefault="0074364D" w:rsidP="00806A0D">
            <w:pPr>
              <w:spacing w:before="120" w:after="120"/>
              <w:ind w:left="0"/>
              <w:rPr>
                <w:sz w:val="18"/>
                <w:szCs w:val="18"/>
                <w:lang w:eastAsia="en-GB"/>
              </w:rPr>
            </w:pPr>
            <w:r w:rsidRPr="00806A0D">
              <w:rPr>
                <w:sz w:val="18"/>
                <w:szCs w:val="18"/>
                <w:lang w:eastAsia="en-GB"/>
              </w:rPr>
              <w:t>I approve the audited Statement of Accounts.</w:t>
            </w:r>
          </w:p>
          <w:p w14:paraId="0DFD3FA2" w14:textId="77777777" w:rsidR="0074364D" w:rsidRPr="00806A0D" w:rsidRDefault="0074364D" w:rsidP="00806A0D">
            <w:pPr>
              <w:spacing w:before="120" w:after="120"/>
              <w:ind w:left="0"/>
              <w:rPr>
                <w:sz w:val="18"/>
                <w:szCs w:val="18"/>
                <w:lang w:eastAsia="en-GB"/>
              </w:rPr>
            </w:pPr>
          </w:p>
        </w:tc>
        <w:tc>
          <w:tcPr>
            <w:tcW w:w="4820" w:type="dxa"/>
            <w:tcBorders>
              <w:top w:val="single" w:sz="4" w:space="0" w:color="A6A6A6"/>
              <w:bottom w:val="single" w:sz="4" w:space="0" w:color="A6A6A6"/>
            </w:tcBorders>
          </w:tcPr>
          <w:p w14:paraId="477EEBF0" w14:textId="6F0B92B3" w:rsidR="0074364D" w:rsidRPr="00806A0D" w:rsidRDefault="0074364D" w:rsidP="00160BD0">
            <w:pPr>
              <w:spacing w:before="120" w:after="120"/>
              <w:ind w:left="0"/>
              <w:rPr>
                <w:sz w:val="18"/>
                <w:szCs w:val="18"/>
                <w:lang w:eastAsia="en-GB"/>
              </w:rPr>
            </w:pPr>
            <w:r w:rsidRPr="00806A0D">
              <w:rPr>
                <w:sz w:val="18"/>
                <w:szCs w:val="18"/>
                <w:lang w:eastAsia="en-GB"/>
              </w:rPr>
              <w:t xml:space="preserve">I certify that the Financial Statements present a true and fair view of the financial position of the </w:t>
            </w:r>
            <w:r w:rsidR="00D47ED4">
              <w:rPr>
                <w:sz w:val="18"/>
                <w:szCs w:val="18"/>
                <w:lang w:eastAsia="en-GB"/>
              </w:rPr>
              <w:t>Chief Constable of</w:t>
            </w:r>
            <w:r w:rsidRPr="00806A0D">
              <w:rPr>
                <w:sz w:val="18"/>
                <w:szCs w:val="18"/>
                <w:lang w:eastAsia="en-GB"/>
              </w:rPr>
              <w:t xml:space="preserve"> Lincolnshire as </w:t>
            </w:r>
            <w:proofErr w:type="gramStart"/>
            <w:r w:rsidRPr="00806A0D">
              <w:rPr>
                <w:sz w:val="18"/>
                <w:szCs w:val="18"/>
                <w:lang w:eastAsia="en-GB"/>
              </w:rPr>
              <w:t>at</w:t>
            </w:r>
            <w:proofErr w:type="gramEnd"/>
            <w:r w:rsidRPr="00806A0D">
              <w:rPr>
                <w:sz w:val="18"/>
                <w:szCs w:val="18"/>
                <w:lang w:eastAsia="en-GB"/>
              </w:rPr>
              <w:t xml:space="preserve"> 31 March 202</w:t>
            </w:r>
            <w:r w:rsidR="00160BD0">
              <w:rPr>
                <w:sz w:val="18"/>
                <w:szCs w:val="18"/>
                <w:lang w:eastAsia="en-GB"/>
              </w:rPr>
              <w:t>1</w:t>
            </w:r>
            <w:r w:rsidRPr="00806A0D">
              <w:rPr>
                <w:sz w:val="18"/>
                <w:szCs w:val="18"/>
                <w:lang w:eastAsia="en-GB"/>
              </w:rPr>
              <w:t xml:space="preserve"> and the Income and Expenditure for the year then ended.</w:t>
            </w:r>
          </w:p>
        </w:tc>
      </w:tr>
      <w:tr w:rsidR="0074364D" w:rsidRPr="0074364D" w14:paraId="3651EC3D" w14:textId="77777777" w:rsidTr="00493AFA">
        <w:tblPrEx>
          <w:tblBorders>
            <w:top w:val="single" w:sz="4" w:space="0" w:color="A6A6A6"/>
            <w:left w:val="single" w:sz="4" w:space="0" w:color="A6A6A6"/>
            <w:bottom w:val="single" w:sz="4" w:space="0" w:color="A6A6A6"/>
            <w:right w:val="single" w:sz="4" w:space="0" w:color="A6A6A6"/>
            <w:insideV w:val="single" w:sz="4" w:space="0" w:color="A6A6A6"/>
          </w:tblBorders>
        </w:tblPrEx>
        <w:trPr>
          <w:trHeight w:val="841"/>
        </w:trPr>
        <w:tc>
          <w:tcPr>
            <w:tcW w:w="4678" w:type="dxa"/>
            <w:tcBorders>
              <w:top w:val="single" w:sz="4" w:space="0" w:color="A6A6A6"/>
              <w:bottom w:val="single" w:sz="4" w:space="0" w:color="A6A6A6"/>
            </w:tcBorders>
          </w:tcPr>
          <w:p w14:paraId="67260081" w14:textId="77777777" w:rsidR="0074364D" w:rsidRPr="00806A0D" w:rsidRDefault="001E01AA" w:rsidP="00806A0D">
            <w:pPr>
              <w:spacing w:before="120" w:after="120"/>
              <w:ind w:left="0"/>
              <w:rPr>
                <w:sz w:val="18"/>
                <w:szCs w:val="18"/>
                <w:lang w:eastAsia="en-GB"/>
              </w:rPr>
            </w:pPr>
            <w:r>
              <w:rPr>
                <w:sz w:val="18"/>
                <w:szCs w:val="18"/>
                <w:lang w:eastAsia="en-GB"/>
              </w:rPr>
              <w:t>Chris Haward</w:t>
            </w:r>
          </w:p>
          <w:p w14:paraId="37EE45C8" w14:textId="77777777" w:rsidR="0074364D" w:rsidRPr="00806A0D" w:rsidRDefault="0074364D" w:rsidP="00806A0D">
            <w:pPr>
              <w:spacing w:before="120" w:after="120"/>
              <w:ind w:left="0"/>
              <w:rPr>
                <w:sz w:val="18"/>
                <w:szCs w:val="18"/>
                <w:lang w:eastAsia="en-GB"/>
              </w:rPr>
            </w:pPr>
          </w:p>
          <w:p w14:paraId="687D4391" w14:textId="77777777" w:rsidR="0074364D" w:rsidRPr="00806A0D" w:rsidRDefault="0074364D" w:rsidP="00806A0D">
            <w:pPr>
              <w:spacing w:before="120" w:after="120"/>
              <w:ind w:left="0"/>
              <w:rPr>
                <w:sz w:val="18"/>
                <w:szCs w:val="18"/>
                <w:lang w:eastAsia="en-GB"/>
              </w:rPr>
            </w:pPr>
          </w:p>
          <w:p w14:paraId="2895F94E" w14:textId="77777777" w:rsidR="0074364D" w:rsidRPr="00806A0D" w:rsidRDefault="0074364D" w:rsidP="00806A0D">
            <w:pPr>
              <w:spacing w:before="120" w:after="120"/>
              <w:ind w:left="0"/>
              <w:rPr>
                <w:sz w:val="18"/>
                <w:szCs w:val="18"/>
                <w:lang w:eastAsia="en-GB"/>
              </w:rPr>
            </w:pPr>
          </w:p>
          <w:p w14:paraId="1C89E0D5" w14:textId="2A07C7F4" w:rsidR="0074364D" w:rsidRPr="00806A0D" w:rsidRDefault="00D47ED4" w:rsidP="00806A0D">
            <w:pPr>
              <w:spacing w:before="120" w:after="120"/>
              <w:ind w:left="0"/>
              <w:rPr>
                <w:sz w:val="18"/>
                <w:szCs w:val="18"/>
                <w:lang w:eastAsia="en-GB"/>
              </w:rPr>
            </w:pPr>
            <w:r>
              <w:rPr>
                <w:sz w:val="18"/>
                <w:szCs w:val="18"/>
                <w:lang w:eastAsia="en-GB"/>
              </w:rPr>
              <w:t>Chief Constable of</w:t>
            </w:r>
            <w:r w:rsidR="0074364D" w:rsidRPr="00806A0D">
              <w:rPr>
                <w:sz w:val="18"/>
                <w:szCs w:val="18"/>
                <w:lang w:eastAsia="en-GB"/>
              </w:rPr>
              <w:t xml:space="preserve"> Lincolnshire</w:t>
            </w:r>
          </w:p>
          <w:p w14:paraId="70830765" w14:textId="15A0F9CF" w:rsidR="0074364D" w:rsidRPr="00806A0D" w:rsidRDefault="0074364D" w:rsidP="00806A0D">
            <w:pPr>
              <w:spacing w:before="120" w:after="120"/>
              <w:ind w:left="0"/>
              <w:rPr>
                <w:b/>
                <w:sz w:val="18"/>
                <w:szCs w:val="18"/>
                <w:lang w:eastAsia="en-GB"/>
              </w:rPr>
            </w:pPr>
            <w:r w:rsidRPr="00806A0D">
              <w:rPr>
                <w:sz w:val="18"/>
                <w:szCs w:val="18"/>
                <w:lang w:eastAsia="en-GB"/>
              </w:rPr>
              <w:t xml:space="preserve">Date:   </w:t>
            </w:r>
            <w:r w:rsidR="003620BD">
              <w:t>6 October 2023</w:t>
            </w:r>
          </w:p>
        </w:tc>
        <w:tc>
          <w:tcPr>
            <w:tcW w:w="4820" w:type="dxa"/>
            <w:tcBorders>
              <w:top w:val="single" w:sz="4" w:space="0" w:color="A6A6A6"/>
              <w:bottom w:val="single" w:sz="4" w:space="0" w:color="A6A6A6"/>
            </w:tcBorders>
          </w:tcPr>
          <w:p w14:paraId="6DBF9A7C" w14:textId="77777777" w:rsidR="0074364D" w:rsidRPr="00806A0D" w:rsidRDefault="0074364D" w:rsidP="00806A0D">
            <w:pPr>
              <w:spacing w:before="120" w:after="120"/>
              <w:ind w:left="0"/>
              <w:rPr>
                <w:sz w:val="18"/>
                <w:szCs w:val="18"/>
                <w:lang w:eastAsia="en-GB"/>
              </w:rPr>
            </w:pPr>
            <w:r w:rsidRPr="00806A0D">
              <w:rPr>
                <w:sz w:val="18"/>
                <w:szCs w:val="18"/>
                <w:lang w:eastAsia="en-GB"/>
              </w:rPr>
              <w:t>Sharon Clark FCA BA</w:t>
            </w:r>
          </w:p>
          <w:p w14:paraId="6A967D5B" w14:textId="77777777" w:rsidR="0074364D" w:rsidRPr="00806A0D" w:rsidRDefault="0074364D" w:rsidP="00806A0D">
            <w:pPr>
              <w:spacing w:before="120" w:after="120"/>
              <w:ind w:left="0"/>
              <w:rPr>
                <w:sz w:val="18"/>
                <w:szCs w:val="18"/>
                <w:lang w:eastAsia="en-GB"/>
              </w:rPr>
            </w:pPr>
          </w:p>
          <w:p w14:paraId="2E49A647" w14:textId="77777777" w:rsidR="00B50669" w:rsidRDefault="00B50669" w:rsidP="00806A0D">
            <w:pPr>
              <w:spacing w:before="120" w:after="120"/>
              <w:ind w:left="0"/>
              <w:rPr>
                <w:sz w:val="18"/>
                <w:szCs w:val="18"/>
              </w:rPr>
            </w:pPr>
          </w:p>
          <w:p w14:paraId="5600BD84" w14:textId="765ECF75" w:rsidR="0074364D" w:rsidRPr="00806A0D" w:rsidRDefault="0074364D" w:rsidP="00806A0D">
            <w:pPr>
              <w:spacing w:before="120" w:after="120"/>
              <w:ind w:left="0"/>
              <w:rPr>
                <w:sz w:val="18"/>
                <w:szCs w:val="18"/>
                <w:lang w:eastAsia="en-GB"/>
              </w:rPr>
            </w:pPr>
            <w:r w:rsidRPr="00806A0D">
              <w:rPr>
                <w:sz w:val="18"/>
                <w:szCs w:val="18"/>
              </w:rPr>
              <w:t xml:space="preserve"> </w:t>
            </w:r>
          </w:p>
          <w:p w14:paraId="69963B29" w14:textId="77777777" w:rsidR="00616E39" w:rsidRDefault="00616E39" w:rsidP="00616E39">
            <w:pPr>
              <w:spacing w:before="0" w:after="0"/>
              <w:ind w:left="0"/>
              <w:rPr>
                <w:rFonts w:eastAsia="Calibri"/>
                <w:szCs w:val="24"/>
                <w:lang w:eastAsia="en-US"/>
              </w:rPr>
            </w:pPr>
            <w:r>
              <w:rPr>
                <w:rFonts w:eastAsia="Calibri"/>
                <w:szCs w:val="24"/>
                <w:lang w:eastAsia="en-US"/>
              </w:rPr>
              <w:t>Director of Finance &amp; Corporate Services (S151)</w:t>
            </w:r>
          </w:p>
          <w:p w14:paraId="66A3D5E7" w14:textId="1476B628" w:rsidR="0074364D" w:rsidRPr="00806A0D" w:rsidRDefault="0074364D" w:rsidP="00160BD0">
            <w:pPr>
              <w:spacing w:before="120" w:after="120"/>
              <w:ind w:left="0"/>
              <w:rPr>
                <w:sz w:val="18"/>
                <w:szCs w:val="18"/>
                <w:lang w:val="en-US" w:eastAsia="en-GB"/>
              </w:rPr>
            </w:pPr>
            <w:r w:rsidRPr="00806A0D">
              <w:rPr>
                <w:sz w:val="18"/>
                <w:szCs w:val="18"/>
                <w:lang w:val="en-US" w:eastAsia="en-GB"/>
              </w:rPr>
              <w:t xml:space="preserve">Date:  </w:t>
            </w:r>
            <w:r w:rsidR="003620BD">
              <w:t>6 October 2023</w:t>
            </w:r>
          </w:p>
        </w:tc>
      </w:tr>
    </w:tbl>
    <w:p w14:paraId="7FE0BA85" w14:textId="77777777" w:rsidR="00BC385F" w:rsidRDefault="00BC385F" w:rsidP="00806A0D">
      <w:r>
        <w:br w:type="page"/>
      </w:r>
    </w:p>
    <w:p w14:paraId="4BF9EEF7" w14:textId="600D7972" w:rsidR="00BA69AE" w:rsidRDefault="0047494C" w:rsidP="00993416">
      <w:pPr>
        <w:spacing w:before="0" w:after="200" w:line="276" w:lineRule="auto"/>
        <w:ind w:left="0"/>
        <w:jc w:val="left"/>
      </w:pPr>
      <w:r>
        <w:rPr>
          <w:noProof/>
        </w:rPr>
        <w:lastRenderedPageBreak/>
        <w:drawing>
          <wp:inline distT="0" distB="0" distL="0" distR="0" wp14:anchorId="7BF4BA2A" wp14:editId="1B991CFD">
            <wp:extent cx="6235065" cy="9081686"/>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979" r="-2165" b="6261"/>
                    <a:stretch/>
                  </pic:blipFill>
                  <pic:spPr bwMode="auto">
                    <a:xfrm>
                      <a:off x="0" y="0"/>
                      <a:ext cx="6252630" cy="9107271"/>
                    </a:xfrm>
                    <a:prstGeom prst="rect">
                      <a:avLst/>
                    </a:prstGeom>
                    <a:ln>
                      <a:noFill/>
                    </a:ln>
                    <a:extLst>
                      <a:ext uri="{53640926-AAD7-44D8-BBD7-CCE9431645EC}">
                        <a14:shadowObscured xmlns:a14="http://schemas.microsoft.com/office/drawing/2010/main"/>
                      </a:ext>
                    </a:extLst>
                  </pic:spPr>
                </pic:pic>
              </a:graphicData>
            </a:graphic>
          </wp:inline>
        </w:drawing>
      </w:r>
      <w:r w:rsidR="00BC385F">
        <w:br w:type="page"/>
      </w:r>
      <w:r w:rsidR="00993416">
        <w:rPr>
          <w:noProof/>
        </w:rPr>
        <w:lastRenderedPageBreak/>
        <w:drawing>
          <wp:inline distT="0" distB="0" distL="0" distR="0" wp14:anchorId="7FF8E23A" wp14:editId="773AFED4">
            <wp:extent cx="6483350" cy="907341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9311" t="9595" r="3256" b="3885"/>
                    <a:stretch/>
                  </pic:blipFill>
                  <pic:spPr bwMode="auto">
                    <a:xfrm>
                      <a:off x="0" y="0"/>
                      <a:ext cx="6496791" cy="9092227"/>
                    </a:xfrm>
                    <a:prstGeom prst="rect">
                      <a:avLst/>
                    </a:prstGeom>
                    <a:ln>
                      <a:noFill/>
                    </a:ln>
                    <a:extLst>
                      <a:ext uri="{53640926-AAD7-44D8-BBD7-CCE9431645EC}">
                        <a14:shadowObscured xmlns:a14="http://schemas.microsoft.com/office/drawing/2010/main"/>
                      </a:ext>
                    </a:extLst>
                  </pic:spPr>
                </pic:pic>
              </a:graphicData>
            </a:graphic>
          </wp:inline>
        </w:drawing>
      </w:r>
      <w:r w:rsidR="00BA69AE">
        <w:br w:type="page"/>
      </w:r>
    </w:p>
    <w:p w14:paraId="2A5E4171" w14:textId="12A9CB59" w:rsidR="00BA69AE" w:rsidRDefault="00747AF3">
      <w:pPr>
        <w:spacing w:before="0" w:after="200" w:line="276" w:lineRule="auto"/>
        <w:ind w:left="0"/>
        <w:jc w:val="left"/>
      </w:pPr>
      <w:r>
        <w:rPr>
          <w:noProof/>
        </w:rPr>
        <w:lastRenderedPageBreak/>
        <w:drawing>
          <wp:inline distT="0" distB="0" distL="0" distR="0" wp14:anchorId="16EADA1E" wp14:editId="2A2B8AF9">
            <wp:extent cx="6262307" cy="9067956"/>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9614" t="9405" r="5487" b="3669"/>
                    <a:stretch/>
                  </pic:blipFill>
                  <pic:spPr bwMode="auto">
                    <a:xfrm>
                      <a:off x="0" y="0"/>
                      <a:ext cx="6278319" cy="9091142"/>
                    </a:xfrm>
                    <a:prstGeom prst="rect">
                      <a:avLst/>
                    </a:prstGeom>
                    <a:ln>
                      <a:noFill/>
                    </a:ln>
                    <a:extLst>
                      <a:ext uri="{53640926-AAD7-44D8-BBD7-CCE9431645EC}">
                        <a14:shadowObscured xmlns:a14="http://schemas.microsoft.com/office/drawing/2010/main"/>
                      </a:ext>
                    </a:extLst>
                  </pic:spPr>
                </pic:pic>
              </a:graphicData>
            </a:graphic>
          </wp:inline>
        </w:drawing>
      </w:r>
    </w:p>
    <w:p w14:paraId="37BD63E0" w14:textId="01682CD4" w:rsidR="00BA69AE" w:rsidRDefault="00182E3B" w:rsidP="00A66E2D">
      <w:pPr>
        <w:spacing w:before="0" w:after="200" w:line="276" w:lineRule="auto"/>
        <w:ind w:left="0"/>
        <w:jc w:val="center"/>
      </w:pPr>
      <w:r>
        <w:rPr>
          <w:noProof/>
        </w:rPr>
        <w:lastRenderedPageBreak/>
        <w:drawing>
          <wp:inline distT="0" distB="0" distL="0" distR="0" wp14:anchorId="148C70E6" wp14:editId="5FE54F18">
            <wp:extent cx="6695613" cy="895792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9265" t="10603" r="4476" b="7796"/>
                    <a:stretch/>
                  </pic:blipFill>
                  <pic:spPr bwMode="auto">
                    <a:xfrm>
                      <a:off x="0" y="0"/>
                      <a:ext cx="6712826" cy="8980958"/>
                    </a:xfrm>
                    <a:prstGeom prst="rect">
                      <a:avLst/>
                    </a:prstGeom>
                    <a:ln>
                      <a:noFill/>
                    </a:ln>
                    <a:extLst>
                      <a:ext uri="{53640926-AAD7-44D8-BBD7-CCE9431645EC}">
                        <a14:shadowObscured xmlns:a14="http://schemas.microsoft.com/office/drawing/2010/main"/>
                      </a:ext>
                    </a:extLst>
                  </pic:spPr>
                </pic:pic>
              </a:graphicData>
            </a:graphic>
          </wp:inline>
        </w:drawing>
      </w:r>
      <w:r w:rsidR="00BA69AE">
        <w:br w:type="page"/>
      </w:r>
    </w:p>
    <w:p w14:paraId="59A3D278" w14:textId="77777777" w:rsidR="00BC385F" w:rsidRDefault="00BC385F" w:rsidP="00806A0D">
      <w:pPr>
        <w:ind w:left="0"/>
      </w:pPr>
    </w:p>
    <w:p w14:paraId="4E51561E" w14:textId="77777777" w:rsidR="00BC385F" w:rsidRDefault="00BC385F" w:rsidP="00806A0D">
      <w:pPr>
        <w:pStyle w:val="Heading1"/>
        <w:ind w:left="0"/>
        <w:jc w:val="center"/>
      </w:pPr>
      <w:bookmarkStart w:id="39" w:name="_Toc42205018"/>
      <w:bookmarkStart w:id="40" w:name="_Toc42271370"/>
      <w:bookmarkStart w:id="41" w:name="_Toc144279259"/>
      <w:r>
        <w:t>Expenditure and Funding Analysis 2020</w:t>
      </w:r>
      <w:bookmarkEnd w:id="39"/>
      <w:bookmarkEnd w:id="40"/>
      <w:r w:rsidR="00160BD0">
        <w:t>/21</w:t>
      </w:r>
      <w:bookmarkEnd w:id="41"/>
    </w:p>
    <w:p w14:paraId="21619551" w14:textId="56011877" w:rsidR="0074364D" w:rsidRDefault="0074364D" w:rsidP="00F4486D">
      <w:pPr>
        <w:spacing w:after="120"/>
        <w:ind w:left="0"/>
      </w:pPr>
      <w:r w:rsidRPr="00632A9D">
        <w:t>The Expenditure and Funding Analysis</w:t>
      </w:r>
      <w:r w:rsidR="007E4669">
        <w:t>, which is a note to the accounts,</w:t>
      </w:r>
      <w:r w:rsidRPr="00632A9D">
        <w:t xml:space="preserve"> shows how annual expenditure is used and funded from resources.  It shows how the expenditure is allocated for decision making purposes between the PCC, CC and Joint Services.  Income and expenditure accounted for under generally accepted accounting principles is presented more fully in the Comprehensive Income and Expenditure Statement.</w:t>
      </w:r>
    </w:p>
    <w:p w14:paraId="37AA04CA" w14:textId="22ACC93F" w:rsidR="0074364D" w:rsidRDefault="004D3106" w:rsidP="00806A0D">
      <w:pPr>
        <w:ind w:left="0"/>
      </w:pPr>
      <w:r w:rsidRPr="004D3106">
        <w:rPr>
          <w:noProof/>
        </w:rPr>
        <w:drawing>
          <wp:inline distT="0" distB="0" distL="0" distR="0" wp14:anchorId="2F84DC5C" wp14:editId="581EAA04">
            <wp:extent cx="5731510" cy="2326005"/>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2326005"/>
                    </a:xfrm>
                    <a:prstGeom prst="rect">
                      <a:avLst/>
                    </a:prstGeom>
                    <a:noFill/>
                    <a:ln>
                      <a:noFill/>
                    </a:ln>
                  </pic:spPr>
                </pic:pic>
              </a:graphicData>
            </a:graphic>
          </wp:inline>
        </w:drawing>
      </w:r>
    </w:p>
    <w:p w14:paraId="10869459" w14:textId="77777777" w:rsidR="00BC385F" w:rsidRDefault="00BC385F" w:rsidP="00806A0D">
      <w:pPr>
        <w:ind w:left="0"/>
      </w:pPr>
      <w:r>
        <w:br w:type="page"/>
      </w:r>
    </w:p>
    <w:p w14:paraId="15F5E171" w14:textId="77777777" w:rsidR="00BC385F" w:rsidRDefault="00BC385F" w:rsidP="00806A0D">
      <w:pPr>
        <w:pStyle w:val="Heading1"/>
        <w:ind w:left="0"/>
        <w:jc w:val="center"/>
      </w:pPr>
      <w:bookmarkStart w:id="42" w:name="_Toc42205019"/>
      <w:bookmarkStart w:id="43" w:name="_Toc42271371"/>
      <w:bookmarkStart w:id="44" w:name="_Toc144279260"/>
      <w:r>
        <w:lastRenderedPageBreak/>
        <w:t>Comprehensive Income and Expenditure Statement 2020</w:t>
      </w:r>
      <w:bookmarkEnd w:id="42"/>
      <w:bookmarkEnd w:id="43"/>
      <w:r w:rsidR="002A0E8E">
        <w:t>/21</w:t>
      </w:r>
      <w:bookmarkEnd w:id="44"/>
    </w:p>
    <w:p w14:paraId="14D66DFE" w14:textId="77777777" w:rsidR="0074364D" w:rsidRDefault="0074364D" w:rsidP="00806A0D">
      <w:pPr>
        <w:ind w:left="0"/>
      </w:pPr>
      <w:r>
        <w:t xml:space="preserve">The Income and Expenditure </w:t>
      </w:r>
      <w:r w:rsidRPr="006F031D">
        <w:t>statement shows the accounting cost in the year of providing services in accordance with International Financial Reporting Standards</w:t>
      </w:r>
      <w:r>
        <w:t>.</w:t>
      </w:r>
    </w:p>
    <w:p w14:paraId="014656C2" w14:textId="131A35FD" w:rsidR="00493AFA" w:rsidRPr="002169AB" w:rsidRDefault="002F6F93" w:rsidP="00806A0D">
      <w:pPr>
        <w:ind w:left="0"/>
      </w:pPr>
      <w:r w:rsidRPr="002F6F93">
        <w:rPr>
          <w:noProof/>
        </w:rPr>
        <w:drawing>
          <wp:inline distT="0" distB="0" distL="0" distR="0" wp14:anchorId="76DB0C0D" wp14:editId="4FE2F129">
            <wp:extent cx="5731510" cy="3221990"/>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3221990"/>
                    </a:xfrm>
                    <a:prstGeom prst="rect">
                      <a:avLst/>
                    </a:prstGeom>
                    <a:noFill/>
                    <a:ln>
                      <a:noFill/>
                    </a:ln>
                  </pic:spPr>
                </pic:pic>
              </a:graphicData>
            </a:graphic>
          </wp:inline>
        </w:drawing>
      </w:r>
    </w:p>
    <w:p w14:paraId="027B0DC6" w14:textId="77777777" w:rsidR="0074364D" w:rsidRPr="002169AB" w:rsidRDefault="0074364D" w:rsidP="00806A0D">
      <w:pPr>
        <w:ind w:left="0"/>
      </w:pPr>
      <w:r w:rsidRPr="002169AB">
        <w:t>The Code of Practice on Local Authority Accounti</w:t>
      </w:r>
      <w:r w:rsidR="00D97C2E" w:rsidRPr="002169AB">
        <w:t>ng in the United Kingdom 2020</w:t>
      </w:r>
      <w:r w:rsidR="002169AB" w:rsidRPr="002169AB">
        <w:t>/21</w:t>
      </w:r>
      <w:r w:rsidRPr="002169AB">
        <w:t xml:space="preserve"> requires that the Comprehensive Income and Expenditure Statement reflects the internal management reporting and </w:t>
      </w:r>
      <w:proofErr w:type="gramStart"/>
      <w:r w:rsidRPr="002169AB">
        <w:t>decision making</w:t>
      </w:r>
      <w:proofErr w:type="gramEnd"/>
      <w:r w:rsidRPr="002169AB">
        <w:t xml:space="preserve"> arrangements of the organisation.</w:t>
      </w:r>
    </w:p>
    <w:p w14:paraId="45CC085F" w14:textId="77777777" w:rsidR="0074364D" w:rsidRPr="002169AB" w:rsidRDefault="0074364D" w:rsidP="00806A0D">
      <w:pPr>
        <w:ind w:left="0"/>
      </w:pPr>
      <w:r w:rsidRPr="002169AB">
        <w:t xml:space="preserve">The strategic partnership contract is managed by the PCC and has been included within the annual statements for the PCC. The cost relating to the G4S strategic partnership </w:t>
      </w:r>
      <w:r w:rsidR="002169AB" w:rsidRPr="002169AB">
        <w:t>of £22.8</w:t>
      </w:r>
      <w:r w:rsidR="00C9696F" w:rsidRPr="002169AB">
        <w:t>m</w:t>
      </w:r>
      <w:r w:rsidR="002169AB" w:rsidRPr="002169AB">
        <w:t xml:space="preserve"> for 2020/21 (2019/20: £22.4</w:t>
      </w:r>
      <w:r w:rsidRPr="002169AB">
        <w:t>m) is shown in the PCC and Group annual statements and is excluded from the Chief Constable’s Comprehensive Income and Expenditure Statement shown above.</w:t>
      </w:r>
    </w:p>
    <w:p w14:paraId="3F6A06A1" w14:textId="77777777" w:rsidR="005E4C31" w:rsidRPr="002169AB" w:rsidRDefault="0074364D" w:rsidP="00806A0D">
      <w:pPr>
        <w:ind w:left="0"/>
      </w:pPr>
      <w:r w:rsidRPr="002169AB">
        <w:t>The G4S strategic partnership cost includes £10.</w:t>
      </w:r>
      <w:r w:rsidR="002169AB" w:rsidRPr="002169AB">
        <w:t>3</w:t>
      </w:r>
      <w:r w:rsidRPr="002169AB">
        <w:t xml:space="preserve">m in respect of operational policing services which are directly attributable to the Chief Constable.  The remaining cost of </w:t>
      </w:r>
      <w:r w:rsidR="002169AB" w:rsidRPr="002169AB">
        <w:t>£12.5</w:t>
      </w:r>
      <w:r w:rsidRPr="002169AB">
        <w:t>m relates to support functions; a substantial part of which is for the provision of services to the Chief Constable. See note 2 for more information.</w:t>
      </w:r>
    </w:p>
    <w:p w14:paraId="618D1F1C" w14:textId="3E0BAE9D" w:rsidR="00BC385F" w:rsidRDefault="00E92468" w:rsidP="00806A0D">
      <w:pPr>
        <w:ind w:left="0"/>
      </w:pPr>
      <w:r w:rsidRPr="00E92468">
        <w:t xml:space="preserve">The </w:t>
      </w:r>
      <w:proofErr w:type="gramStart"/>
      <w:r w:rsidRPr="00E92468">
        <w:t>year to year</w:t>
      </w:r>
      <w:proofErr w:type="gramEnd"/>
      <w:r w:rsidRPr="00E92468">
        <w:t xml:space="preserve"> variance on actuarial (gains) or losses on the pensions assets and liabilities relates largely to losses arising on changes in financial assumptions due to market conditions.</w:t>
      </w:r>
      <w:r w:rsidR="00BC385F">
        <w:br w:type="page"/>
      </w:r>
    </w:p>
    <w:p w14:paraId="7DEF6017" w14:textId="77777777" w:rsidR="00BC385F" w:rsidRDefault="00BC385F" w:rsidP="00806A0D">
      <w:pPr>
        <w:pStyle w:val="Heading1"/>
        <w:ind w:left="0"/>
        <w:jc w:val="center"/>
      </w:pPr>
      <w:bookmarkStart w:id="45" w:name="_Toc42205020"/>
      <w:bookmarkStart w:id="46" w:name="_Toc42271372"/>
      <w:bookmarkStart w:id="47" w:name="_Toc144279261"/>
      <w:r>
        <w:lastRenderedPageBreak/>
        <w:t>Movement in Reserves Statement 2020</w:t>
      </w:r>
      <w:bookmarkEnd w:id="45"/>
      <w:bookmarkEnd w:id="46"/>
      <w:r w:rsidR="002A0E8E">
        <w:t>/21</w:t>
      </w:r>
      <w:bookmarkEnd w:id="47"/>
    </w:p>
    <w:p w14:paraId="63465A46" w14:textId="77777777" w:rsidR="0074364D" w:rsidRDefault="0074364D" w:rsidP="00806A0D">
      <w:pPr>
        <w:ind w:left="0"/>
      </w:pPr>
      <w:r w:rsidRPr="000012C1">
        <w:t xml:space="preserve">The Movement in Reserves Statement shows the movement in the year on the unusable reserves held by the Chief Constable.  The Surplus or (Deficit) on the Provision of Services line shows the true economic cost of providing the Chief Constable's services, </w:t>
      </w:r>
      <w:r>
        <w:t xml:space="preserve">further </w:t>
      </w:r>
      <w:r w:rsidRPr="000012C1">
        <w:t>details are shown in the Comprehensive Inc</w:t>
      </w:r>
      <w:r>
        <w:t>ome and Expenditure Statement.</w:t>
      </w:r>
    </w:p>
    <w:p w14:paraId="1D021C74" w14:textId="4FFB22AA" w:rsidR="00493AFA" w:rsidRDefault="002F6F93" w:rsidP="00806A0D">
      <w:pPr>
        <w:ind w:left="0"/>
      </w:pPr>
      <w:r w:rsidRPr="002F6F93">
        <w:rPr>
          <w:noProof/>
        </w:rPr>
        <w:drawing>
          <wp:inline distT="0" distB="0" distL="0" distR="0" wp14:anchorId="3FDC0CFC" wp14:editId="7FAE3F7B">
            <wp:extent cx="5731510" cy="4738370"/>
            <wp:effectExtent l="0" t="0" r="254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4738370"/>
                    </a:xfrm>
                    <a:prstGeom prst="rect">
                      <a:avLst/>
                    </a:prstGeom>
                    <a:noFill/>
                    <a:ln>
                      <a:noFill/>
                    </a:ln>
                  </pic:spPr>
                </pic:pic>
              </a:graphicData>
            </a:graphic>
          </wp:inline>
        </w:drawing>
      </w:r>
    </w:p>
    <w:p w14:paraId="750A4CA1" w14:textId="77777777" w:rsidR="0074364D" w:rsidRDefault="0074364D" w:rsidP="00806A0D"/>
    <w:p w14:paraId="272AA910" w14:textId="77777777" w:rsidR="0074364D" w:rsidRDefault="0074364D" w:rsidP="00806A0D"/>
    <w:p w14:paraId="2AA485EF" w14:textId="77777777" w:rsidR="00BC385F" w:rsidRDefault="00BC385F" w:rsidP="00806A0D">
      <w:r>
        <w:br w:type="page"/>
      </w:r>
    </w:p>
    <w:p w14:paraId="04B2E15E" w14:textId="77777777" w:rsidR="00BC385F" w:rsidRDefault="00BC385F" w:rsidP="00806A0D">
      <w:pPr>
        <w:pStyle w:val="Heading1"/>
        <w:ind w:left="0"/>
        <w:jc w:val="center"/>
      </w:pPr>
      <w:bookmarkStart w:id="48" w:name="_Toc42205021"/>
      <w:bookmarkStart w:id="49" w:name="_Toc42271373"/>
      <w:bookmarkStart w:id="50" w:name="_Toc144279262"/>
      <w:r>
        <w:lastRenderedPageBreak/>
        <w:t xml:space="preserve">Balance Sheet as </w:t>
      </w:r>
      <w:proofErr w:type="gramStart"/>
      <w:r>
        <w:t>at</w:t>
      </w:r>
      <w:proofErr w:type="gramEnd"/>
      <w:r>
        <w:t xml:space="preserve"> 31 March 202</w:t>
      </w:r>
      <w:bookmarkEnd w:id="48"/>
      <w:bookmarkEnd w:id="49"/>
      <w:r w:rsidR="002A0E8E">
        <w:t>1</w:t>
      </w:r>
      <w:bookmarkEnd w:id="50"/>
    </w:p>
    <w:p w14:paraId="5D7C87D2" w14:textId="77777777" w:rsidR="0074364D" w:rsidRDefault="0074364D" w:rsidP="00806A0D">
      <w:pPr>
        <w:ind w:left="0"/>
      </w:pPr>
      <w:r w:rsidRPr="00EC4505">
        <w:t xml:space="preserve">The Balance Sheet </w:t>
      </w:r>
      <w:r>
        <w:t>provides</w:t>
      </w:r>
      <w:r w:rsidRPr="00EC4505">
        <w:t xml:space="preserve"> the value </w:t>
      </w:r>
      <w:r>
        <w:t xml:space="preserve">of </w:t>
      </w:r>
      <w:r w:rsidRPr="00EC4505">
        <w:t>as</w:t>
      </w:r>
      <w:r>
        <w:t>sets and liabilities recognised by the Force</w:t>
      </w:r>
      <w:r w:rsidRPr="00EC4505">
        <w:t xml:space="preserve"> for the Chief Constable.  The net assets are matched by the reserves held.  The only reserve balance </w:t>
      </w:r>
      <w:r>
        <w:t>for the Chief Constable is the pension reserve.</w:t>
      </w:r>
    </w:p>
    <w:p w14:paraId="0D7377BB" w14:textId="4C49D1F0" w:rsidR="00493AFA" w:rsidRDefault="00535EBE" w:rsidP="00A25B02">
      <w:pPr>
        <w:ind w:left="0"/>
      </w:pPr>
      <w:r w:rsidRPr="00535EBE">
        <w:rPr>
          <w:noProof/>
        </w:rPr>
        <w:drawing>
          <wp:inline distT="0" distB="0" distL="0" distR="0" wp14:anchorId="78206BB5" wp14:editId="5FE9CF00">
            <wp:extent cx="4505325" cy="54102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05325" cy="5410200"/>
                    </a:xfrm>
                    <a:prstGeom prst="rect">
                      <a:avLst/>
                    </a:prstGeom>
                    <a:noFill/>
                    <a:ln>
                      <a:noFill/>
                    </a:ln>
                  </pic:spPr>
                </pic:pic>
              </a:graphicData>
            </a:graphic>
          </wp:inline>
        </w:drawing>
      </w:r>
    </w:p>
    <w:p w14:paraId="21C4FEC0" w14:textId="77777777" w:rsidR="000F417E" w:rsidRDefault="0074364D" w:rsidP="00806A0D">
      <w:pPr>
        <w:ind w:left="0"/>
      </w:pPr>
      <w:r w:rsidRPr="0074364D">
        <w:rPr>
          <w:rStyle w:val="Strong"/>
          <w:b w:val="0"/>
        </w:rPr>
        <w:t>The Police and Crime Commissioner’s Scheme of Delegation limits the entries required in the Chief Constables Balance sheet.  All entries relating to the Police and Crime Commissioner and Chief Constable Group are shown in the Police and Crime Commissioner’s Financial Statements.</w:t>
      </w:r>
    </w:p>
    <w:p w14:paraId="1D6DDFF9" w14:textId="2E00FEF8" w:rsidR="004C15AA" w:rsidRPr="000D31AC" w:rsidRDefault="0074364D" w:rsidP="00806A0D">
      <w:pPr>
        <w:ind w:left="0"/>
        <w:rPr>
          <w:color w:val="auto"/>
        </w:rPr>
      </w:pPr>
      <w:r w:rsidRPr="000D31AC">
        <w:rPr>
          <w:color w:val="auto"/>
        </w:rPr>
        <w:t xml:space="preserve">These audited accounts were signed on </w:t>
      </w:r>
      <w:r w:rsidR="006B1414">
        <w:rPr>
          <w:color w:val="auto"/>
        </w:rPr>
        <w:t>6</w:t>
      </w:r>
      <w:r w:rsidR="006B1414" w:rsidRPr="006B1414">
        <w:rPr>
          <w:color w:val="auto"/>
          <w:vertAlign w:val="superscript"/>
        </w:rPr>
        <w:t>th</w:t>
      </w:r>
      <w:r w:rsidR="006B1414">
        <w:rPr>
          <w:color w:val="auto"/>
        </w:rPr>
        <w:t xml:space="preserve"> October 2023</w:t>
      </w:r>
      <w:r w:rsidRPr="000D31AC">
        <w:rPr>
          <w:color w:val="auto"/>
        </w:rPr>
        <w:t>.</w:t>
      </w:r>
    </w:p>
    <w:p w14:paraId="32F5C2B5" w14:textId="77777777" w:rsidR="00DC6028" w:rsidRDefault="00DC6028" w:rsidP="00806A0D">
      <w:pPr>
        <w:ind w:left="0"/>
      </w:pPr>
    </w:p>
    <w:p w14:paraId="03A645A3" w14:textId="370E1985" w:rsidR="0074364D" w:rsidRDefault="0074364D" w:rsidP="00806A0D">
      <w:pPr>
        <w:ind w:left="0"/>
      </w:pPr>
      <w:r>
        <w:t>_________________________________</w:t>
      </w:r>
    </w:p>
    <w:p w14:paraId="1CCA3058" w14:textId="77777777" w:rsidR="0074364D" w:rsidRDefault="0074364D" w:rsidP="00806A0D">
      <w:pPr>
        <w:ind w:left="0"/>
      </w:pPr>
      <w:r>
        <w:t>Sharon Clark FCA BA</w:t>
      </w:r>
    </w:p>
    <w:p w14:paraId="13AD674E" w14:textId="3E053D50" w:rsidR="00BC385F" w:rsidRDefault="00C27D4E" w:rsidP="00806A0D">
      <w:pPr>
        <w:ind w:left="0"/>
      </w:pPr>
      <w:r>
        <w:t>Director of Finance &amp; Corporate Services (S151)</w:t>
      </w:r>
      <w:r w:rsidR="00BC385F">
        <w:br w:type="page"/>
      </w:r>
    </w:p>
    <w:p w14:paraId="7E60CBD0" w14:textId="77777777" w:rsidR="00BC385F" w:rsidRDefault="00BC385F" w:rsidP="00806A0D">
      <w:pPr>
        <w:pStyle w:val="Heading1"/>
        <w:ind w:left="0"/>
        <w:jc w:val="center"/>
      </w:pPr>
      <w:bookmarkStart w:id="51" w:name="_Toc42205022"/>
      <w:bookmarkStart w:id="52" w:name="_Toc42271374"/>
      <w:bookmarkStart w:id="53" w:name="_Toc144279263"/>
      <w:r>
        <w:lastRenderedPageBreak/>
        <w:t>Cash Flow Statement 2020</w:t>
      </w:r>
      <w:bookmarkEnd w:id="51"/>
      <w:bookmarkEnd w:id="52"/>
      <w:r w:rsidR="002A0E8E">
        <w:t>/21</w:t>
      </w:r>
      <w:bookmarkEnd w:id="53"/>
    </w:p>
    <w:p w14:paraId="6277D868" w14:textId="77777777" w:rsidR="0074364D" w:rsidRDefault="0074364D" w:rsidP="00806A0D">
      <w:pPr>
        <w:ind w:left="0"/>
      </w:pPr>
      <w:r>
        <w:t>The Cash Flow S</w:t>
      </w:r>
      <w:r w:rsidRPr="00E01308">
        <w:t>tatement does not show any c</w:t>
      </w:r>
      <w:r>
        <w:t xml:space="preserve">ash flows for the year, </w:t>
      </w:r>
      <w:r w:rsidRPr="00E01308">
        <w:t xml:space="preserve">as all payments were made from the </w:t>
      </w:r>
      <w:r>
        <w:t>PCC’s accounts</w:t>
      </w:r>
      <w:r w:rsidRPr="00E01308">
        <w:t xml:space="preserve">.  Similarly, all income and funding </w:t>
      </w:r>
      <w:proofErr w:type="gramStart"/>
      <w:r w:rsidRPr="00E01308">
        <w:t>is</w:t>
      </w:r>
      <w:proofErr w:type="gramEnd"/>
      <w:r w:rsidRPr="00E01308">
        <w:t xml:space="preserve"> received </w:t>
      </w:r>
      <w:r>
        <w:t>into the PCC’s accounts.</w:t>
      </w:r>
    </w:p>
    <w:p w14:paraId="2AB5F2B6" w14:textId="5E927F8D" w:rsidR="0074364D" w:rsidRDefault="00A9466F" w:rsidP="00A03B85">
      <w:pPr>
        <w:ind w:left="0"/>
      </w:pPr>
      <w:r w:rsidRPr="00A9466F">
        <w:rPr>
          <w:noProof/>
        </w:rPr>
        <w:drawing>
          <wp:inline distT="0" distB="0" distL="0" distR="0" wp14:anchorId="7F85F5AB" wp14:editId="6F0BE2DE">
            <wp:extent cx="5429250" cy="2171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29250" cy="2171700"/>
                    </a:xfrm>
                    <a:prstGeom prst="rect">
                      <a:avLst/>
                    </a:prstGeom>
                    <a:noFill/>
                    <a:ln>
                      <a:noFill/>
                    </a:ln>
                  </pic:spPr>
                </pic:pic>
              </a:graphicData>
            </a:graphic>
          </wp:inline>
        </w:drawing>
      </w:r>
    </w:p>
    <w:p w14:paraId="212CFD4C" w14:textId="77777777" w:rsidR="00BC385F" w:rsidRDefault="00BC385F" w:rsidP="00806A0D">
      <w:r>
        <w:br w:type="page"/>
      </w:r>
    </w:p>
    <w:p w14:paraId="55FE0388" w14:textId="64AD62AE" w:rsidR="00BC385F" w:rsidRDefault="00D47ED4" w:rsidP="00806A0D">
      <w:pPr>
        <w:pStyle w:val="Heading1"/>
        <w:ind w:left="0"/>
      </w:pPr>
      <w:bookmarkStart w:id="54" w:name="_Toc42205023"/>
      <w:bookmarkStart w:id="55" w:name="_Toc42271375"/>
      <w:bookmarkStart w:id="56" w:name="_Toc42272141"/>
      <w:bookmarkStart w:id="57" w:name="_Toc72330167"/>
      <w:bookmarkStart w:id="58" w:name="_Toc72334821"/>
      <w:bookmarkStart w:id="59" w:name="_Toc144279264"/>
      <w:r>
        <w:lastRenderedPageBreak/>
        <w:t>Chief Constable of</w:t>
      </w:r>
      <w:r w:rsidR="00665AA2">
        <w:t xml:space="preserve"> Lincolnshire</w:t>
      </w:r>
      <w:bookmarkEnd w:id="54"/>
      <w:bookmarkEnd w:id="55"/>
      <w:bookmarkEnd w:id="56"/>
      <w:bookmarkEnd w:id="57"/>
      <w:bookmarkEnd w:id="58"/>
      <w:bookmarkEnd w:id="59"/>
    </w:p>
    <w:p w14:paraId="0CDA57B8" w14:textId="77777777" w:rsidR="00665AA2" w:rsidRDefault="00665AA2" w:rsidP="00806A0D">
      <w:pPr>
        <w:pStyle w:val="Heading1"/>
        <w:ind w:left="0"/>
      </w:pPr>
      <w:bookmarkStart w:id="60" w:name="_Toc42205024"/>
      <w:bookmarkStart w:id="61" w:name="_Toc42271376"/>
      <w:bookmarkStart w:id="62" w:name="_Toc144279265"/>
      <w:r>
        <w:t>Notes to the Accounts</w:t>
      </w:r>
      <w:bookmarkEnd w:id="60"/>
      <w:bookmarkEnd w:id="61"/>
      <w:bookmarkEnd w:id="62"/>
    </w:p>
    <w:p w14:paraId="2F63E31E" w14:textId="77777777" w:rsidR="0074364D" w:rsidRPr="0074364D" w:rsidRDefault="0074364D" w:rsidP="007E1A23">
      <w:pPr>
        <w:pStyle w:val="Heading2"/>
        <w:numPr>
          <w:ilvl w:val="0"/>
          <w:numId w:val="4"/>
        </w:numPr>
        <w:ind w:left="284" w:hanging="284"/>
        <w:rPr>
          <w:rFonts w:eastAsia="MS Mincho"/>
        </w:rPr>
      </w:pPr>
      <w:bookmarkStart w:id="63" w:name="_Toc42205025"/>
      <w:bookmarkStart w:id="64" w:name="_Toc42271377"/>
      <w:bookmarkStart w:id="65" w:name="_Toc144279266"/>
      <w:r w:rsidRPr="0074364D">
        <w:rPr>
          <w:rFonts w:eastAsia="MS Mincho"/>
        </w:rPr>
        <w:t>Accounting Policies</w:t>
      </w:r>
      <w:bookmarkEnd w:id="63"/>
      <w:bookmarkEnd w:id="64"/>
      <w:bookmarkEnd w:id="65"/>
    </w:p>
    <w:p w14:paraId="260CD55C" w14:textId="77777777" w:rsidR="0074364D" w:rsidRPr="0074364D" w:rsidRDefault="0074364D" w:rsidP="007E1A23">
      <w:pPr>
        <w:pStyle w:val="Heading2"/>
        <w:numPr>
          <w:ilvl w:val="1"/>
          <w:numId w:val="4"/>
        </w:numPr>
        <w:ind w:left="851" w:hanging="567"/>
      </w:pPr>
      <w:bookmarkStart w:id="66" w:name="_Toc42205026"/>
      <w:bookmarkStart w:id="67" w:name="_Toc42271378"/>
      <w:bookmarkStart w:id="68" w:name="_Toc42272144"/>
      <w:bookmarkStart w:id="69" w:name="_Toc72330170"/>
      <w:bookmarkStart w:id="70" w:name="_Toc72334824"/>
      <w:bookmarkStart w:id="71" w:name="_Toc144279267"/>
      <w:r w:rsidRPr="0074364D">
        <w:t>General Principles</w:t>
      </w:r>
      <w:bookmarkEnd w:id="66"/>
      <w:bookmarkEnd w:id="67"/>
      <w:bookmarkEnd w:id="68"/>
      <w:bookmarkEnd w:id="69"/>
      <w:bookmarkEnd w:id="70"/>
      <w:bookmarkEnd w:id="71"/>
    </w:p>
    <w:p w14:paraId="5561EDA2" w14:textId="77777777" w:rsidR="002A0E8E" w:rsidRDefault="002A0E8E" w:rsidP="002A0E8E">
      <w:pPr>
        <w:ind w:left="284"/>
      </w:pPr>
      <w:r>
        <w:t>The Statement of Accounts summarises the Chief Constable’s transactions for the 2020/21 financial year and its position at the year end of 31 March 2021. The Chief Constable is required to prepare an annual Statement of Accounts by the Accounts and Audit (England) Regulations 2015 which require the statements to be prepared in accordance with proper accounting practices. These practices primarily comprise the Code of Practice on Local Authority Accounting in the United Kingdom 2020/21, supported by International Financial Reporting Standards.</w:t>
      </w:r>
    </w:p>
    <w:p w14:paraId="28E63712" w14:textId="77777777" w:rsidR="002A0E8E" w:rsidRDefault="002A0E8E" w:rsidP="002A0E8E">
      <w:pPr>
        <w:ind w:left="284"/>
      </w:pPr>
      <w:r>
        <w:t>The accounting convention adopted in the Statement of Accounts is principally historical cost.</w:t>
      </w:r>
    </w:p>
    <w:p w14:paraId="22DB7180" w14:textId="77777777" w:rsidR="0074364D" w:rsidRPr="00806A0D" w:rsidRDefault="002A0E8E" w:rsidP="002A0E8E">
      <w:pPr>
        <w:ind w:left="284"/>
      </w:pPr>
      <w:r>
        <w:t>All accounting policies that are material to the production of the accounts are described in this section.</w:t>
      </w:r>
    </w:p>
    <w:p w14:paraId="579E0BAC" w14:textId="77777777" w:rsidR="0074364D" w:rsidRPr="0074364D" w:rsidRDefault="0074364D" w:rsidP="007E1A23">
      <w:pPr>
        <w:pStyle w:val="Heading2"/>
        <w:numPr>
          <w:ilvl w:val="1"/>
          <w:numId w:val="4"/>
        </w:numPr>
        <w:ind w:left="851" w:hanging="567"/>
      </w:pPr>
      <w:bookmarkStart w:id="72" w:name="_Toc42205027"/>
      <w:bookmarkStart w:id="73" w:name="_Toc42271379"/>
      <w:bookmarkStart w:id="74" w:name="_Toc42272145"/>
      <w:bookmarkStart w:id="75" w:name="_Toc72330171"/>
      <w:bookmarkStart w:id="76" w:name="_Toc72334825"/>
      <w:bookmarkStart w:id="77" w:name="_Toc144279268"/>
      <w:r w:rsidRPr="0074364D">
        <w:t>Prior Period Adjustments, Changes in Accounting Policies and Estimates and Errors</w:t>
      </w:r>
      <w:bookmarkEnd w:id="72"/>
      <w:bookmarkEnd w:id="73"/>
      <w:bookmarkEnd w:id="74"/>
      <w:bookmarkEnd w:id="75"/>
      <w:bookmarkEnd w:id="76"/>
      <w:bookmarkEnd w:id="77"/>
    </w:p>
    <w:p w14:paraId="6532ACF5" w14:textId="77777777" w:rsidR="002A0E8E" w:rsidRDefault="002A0E8E" w:rsidP="002A0E8E">
      <w:pPr>
        <w:ind w:left="284"/>
      </w:pPr>
      <w:r>
        <w:t xml:space="preserve">Prior period adjustments may arise </w:t>
      </w:r>
      <w:proofErr w:type="gramStart"/>
      <w:r>
        <w:t>as a result of</w:t>
      </w:r>
      <w:proofErr w:type="gramEnd"/>
      <w:r>
        <w:t xml:space="preserve"> a change in accounting policies or to correct a material error. Changes in accounting estimates are accounted for prospectively, </w:t>
      </w:r>
      <w:proofErr w:type="gramStart"/>
      <w:r>
        <w:t>i.e.</w:t>
      </w:r>
      <w:proofErr w:type="gramEnd"/>
      <w:r>
        <w:t xml:space="preserve"> in the current and future years affected by the change and do not give rise to a prior period adjustment.</w:t>
      </w:r>
    </w:p>
    <w:p w14:paraId="64222D49" w14:textId="77777777" w:rsidR="002A0E8E" w:rsidRDefault="002A0E8E" w:rsidP="002A0E8E">
      <w:pPr>
        <w:ind w:left="284"/>
      </w:pPr>
      <w:r>
        <w:t>Changes in accounting policies are only made when required by proper accounting practices or the change provides more reliable or relevant information about the effect of transactions, other events and conditions on the Chief Constable’s financial position or financial performance. Where a change is made, it is applied retrospectively (unless stated otherwise) by adjusting opening balances and comparative amounts for the prior period as if the new policy had always been applied.</w:t>
      </w:r>
    </w:p>
    <w:p w14:paraId="0E303425" w14:textId="77777777" w:rsidR="0074364D" w:rsidRPr="0074364D" w:rsidRDefault="002A0E8E" w:rsidP="002A0E8E">
      <w:pPr>
        <w:ind w:left="284"/>
      </w:pPr>
      <w:r>
        <w:t>Material errors discovered in prior period figures are corrected retrospectively by amending opening balances and comparative amounts for the prior period.</w:t>
      </w:r>
    </w:p>
    <w:p w14:paraId="6A4D351F" w14:textId="77777777" w:rsidR="0074364D" w:rsidRPr="0074364D" w:rsidRDefault="0074364D" w:rsidP="007E1A23">
      <w:pPr>
        <w:pStyle w:val="Heading2"/>
        <w:numPr>
          <w:ilvl w:val="1"/>
          <w:numId w:val="4"/>
        </w:numPr>
        <w:ind w:left="851" w:hanging="567"/>
      </w:pPr>
      <w:bookmarkStart w:id="78" w:name="_Toc42205028"/>
      <w:bookmarkStart w:id="79" w:name="_Toc42271380"/>
      <w:bookmarkStart w:id="80" w:name="_Toc42272146"/>
      <w:bookmarkStart w:id="81" w:name="_Toc72330172"/>
      <w:bookmarkStart w:id="82" w:name="_Toc72334826"/>
      <w:bookmarkStart w:id="83" w:name="_Toc144279269"/>
      <w:r w:rsidRPr="0074364D">
        <w:t>Accruals of Income and Expenditure</w:t>
      </w:r>
      <w:bookmarkEnd w:id="78"/>
      <w:bookmarkEnd w:id="79"/>
      <w:bookmarkEnd w:id="80"/>
      <w:bookmarkEnd w:id="81"/>
      <w:bookmarkEnd w:id="82"/>
      <w:bookmarkEnd w:id="83"/>
    </w:p>
    <w:p w14:paraId="2EFBE39E" w14:textId="77777777" w:rsidR="0074364D" w:rsidRPr="0074364D" w:rsidRDefault="0074364D" w:rsidP="00806A0D">
      <w:pPr>
        <w:ind w:left="284"/>
      </w:pPr>
      <w:r w:rsidRPr="0074364D">
        <w:t>Activity is accounted for in the year that it takes place, not simply when cash payments are made or received. In particular:</w:t>
      </w:r>
    </w:p>
    <w:p w14:paraId="1057F9D2" w14:textId="77777777" w:rsidR="0074364D" w:rsidRPr="0074364D" w:rsidRDefault="0074364D" w:rsidP="007E1A23">
      <w:pPr>
        <w:pStyle w:val="ListParagraph"/>
        <w:numPr>
          <w:ilvl w:val="0"/>
          <w:numId w:val="3"/>
        </w:numPr>
        <w:ind w:left="709" w:hanging="284"/>
        <w:contextualSpacing w:val="0"/>
      </w:pPr>
      <w:r w:rsidRPr="0074364D">
        <w:t xml:space="preserve">Revenue from contracts with service recipients, whether for services or the provision of goods, is recognised when (or as) the goods or services are transferred to the service recipient in accordance with the performance obligations in the </w:t>
      </w:r>
      <w:proofErr w:type="gramStart"/>
      <w:r w:rsidRPr="0074364D">
        <w:t>contract;</w:t>
      </w:r>
      <w:proofErr w:type="gramEnd"/>
      <w:r w:rsidRPr="0074364D">
        <w:t xml:space="preserve"> </w:t>
      </w:r>
    </w:p>
    <w:p w14:paraId="1A17A377" w14:textId="77777777" w:rsidR="0074364D" w:rsidRPr="0074364D" w:rsidRDefault="0074364D" w:rsidP="007E1A23">
      <w:pPr>
        <w:pStyle w:val="ListParagraph"/>
        <w:numPr>
          <w:ilvl w:val="0"/>
          <w:numId w:val="3"/>
        </w:numPr>
        <w:ind w:left="709" w:hanging="284"/>
        <w:contextualSpacing w:val="0"/>
      </w:pPr>
      <w:r w:rsidRPr="0074364D">
        <w:t xml:space="preserve">Supplies are recorded as expenditure when they are consumed – where there is a gap between the date supplies are received and their consumption, they are carried as inventories on the Balance </w:t>
      </w:r>
      <w:proofErr w:type="gramStart"/>
      <w:r w:rsidRPr="0074364D">
        <w:t>Sheet;</w:t>
      </w:r>
      <w:proofErr w:type="gramEnd"/>
    </w:p>
    <w:p w14:paraId="17E6CC39" w14:textId="77777777" w:rsidR="0074364D" w:rsidRPr="0074364D" w:rsidRDefault="0074364D" w:rsidP="007E1A23">
      <w:pPr>
        <w:pStyle w:val="ListParagraph"/>
        <w:numPr>
          <w:ilvl w:val="0"/>
          <w:numId w:val="3"/>
        </w:numPr>
        <w:ind w:left="709" w:hanging="284"/>
        <w:contextualSpacing w:val="0"/>
      </w:pPr>
      <w:r w:rsidRPr="0074364D">
        <w:t>Expenses in relation to services received (including services provided by employees) are recorded as expenditure when the services are received rather than when payments are made.</w:t>
      </w:r>
    </w:p>
    <w:p w14:paraId="0C355ED5" w14:textId="77777777" w:rsidR="0074364D" w:rsidRPr="0074364D" w:rsidRDefault="0074364D" w:rsidP="007E1A23">
      <w:pPr>
        <w:pStyle w:val="Heading2"/>
        <w:numPr>
          <w:ilvl w:val="1"/>
          <w:numId w:val="4"/>
        </w:numPr>
        <w:ind w:left="851" w:hanging="567"/>
      </w:pPr>
      <w:bookmarkStart w:id="84" w:name="_Toc42205029"/>
      <w:bookmarkStart w:id="85" w:name="_Toc42271381"/>
      <w:bookmarkStart w:id="86" w:name="_Toc42272147"/>
      <w:bookmarkStart w:id="87" w:name="_Toc72330173"/>
      <w:bookmarkStart w:id="88" w:name="_Toc72334827"/>
      <w:bookmarkStart w:id="89" w:name="_Toc144279270"/>
      <w:r w:rsidRPr="0074364D">
        <w:lastRenderedPageBreak/>
        <w:t>Non-Current Assets – Property, Plant and Equipment</w:t>
      </w:r>
      <w:bookmarkEnd w:id="84"/>
      <w:bookmarkEnd w:id="85"/>
      <w:bookmarkEnd w:id="86"/>
      <w:bookmarkEnd w:id="87"/>
      <w:bookmarkEnd w:id="88"/>
      <w:bookmarkEnd w:id="89"/>
    </w:p>
    <w:p w14:paraId="7683C6BA" w14:textId="77777777" w:rsidR="0074364D" w:rsidRPr="0074364D" w:rsidRDefault="0074364D" w:rsidP="00806A0D">
      <w:pPr>
        <w:ind w:left="284"/>
      </w:pPr>
      <w:r w:rsidRPr="0074364D">
        <w:t>The Chief Constable does not own any non-current assets.  All capital equipment used in operational policing is procured and owned by the PCC, under the agreement that control, in particular usage and responsibility for maintenance, is delegated to the Chief Constable under the PCC Group’s existing scheme of delegation.</w:t>
      </w:r>
    </w:p>
    <w:p w14:paraId="386BB400" w14:textId="77777777" w:rsidR="0074364D" w:rsidRPr="0074364D" w:rsidRDefault="0074364D" w:rsidP="007E1A23">
      <w:pPr>
        <w:pStyle w:val="Heading2"/>
        <w:numPr>
          <w:ilvl w:val="1"/>
          <w:numId w:val="4"/>
        </w:numPr>
        <w:ind w:left="851" w:hanging="567"/>
      </w:pPr>
      <w:bookmarkStart w:id="90" w:name="_Toc42205030"/>
      <w:bookmarkStart w:id="91" w:name="_Toc42271382"/>
      <w:bookmarkStart w:id="92" w:name="_Toc42272148"/>
      <w:bookmarkStart w:id="93" w:name="_Toc72330174"/>
      <w:bookmarkStart w:id="94" w:name="_Toc72334828"/>
      <w:bookmarkStart w:id="95" w:name="_Toc144279271"/>
      <w:r w:rsidRPr="0074364D">
        <w:t>Provisions</w:t>
      </w:r>
      <w:bookmarkEnd w:id="90"/>
      <w:bookmarkEnd w:id="91"/>
      <w:bookmarkEnd w:id="92"/>
      <w:bookmarkEnd w:id="93"/>
      <w:bookmarkEnd w:id="94"/>
      <w:bookmarkEnd w:id="95"/>
    </w:p>
    <w:p w14:paraId="16E5232B" w14:textId="77777777" w:rsidR="002A0E8E" w:rsidRDefault="002A0E8E" w:rsidP="002A0E8E">
      <w:pPr>
        <w:ind w:left="284"/>
      </w:pPr>
      <w:r>
        <w:t>Provisions are made where an event has taken place that gives the Chief Constable a legal or constructive obligation that probably requires settlement by a transfer of economic benefits or service potential, and a reliable estimate can be made of the amount of the obligation. For instance, the Chief Constable may be involved in a court case that could eventually result in the making of a settlement or the payment of compensation.</w:t>
      </w:r>
    </w:p>
    <w:p w14:paraId="6F82E0D1" w14:textId="77777777" w:rsidR="002A0E8E" w:rsidRDefault="002A0E8E" w:rsidP="002A0E8E">
      <w:pPr>
        <w:ind w:left="284"/>
      </w:pPr>
      <w:r>
        <w:t xml:space="preserve">Provisions are charged as an expense to the appropriate service line in the Comprehensive Income and Expenditure Statement in the year that the Chief Constable becomes aware of the </w:t>
      </w:r>
      <w:proofErr w:type="gramStart"/>
      <w:r>
        <w:t>obligation, and</w:t>
      </w:r>
      <w:proofErr w:type="gramEnd"/>
      <w:r>
        <w:t xml:space="preserve"> are measured at the best estimate at the balance sheet date of the expenditure required to settle the obligation, taking into account relevant risks and uncertainties.</w:t>
      </w:r>
    </w:p>
    <w:p w14:paraId="0AF7949C" w14:textId="77777777" w:rsidR="002A0E8E" w:rsidRDefault="002A0E8E" w:rsidP="002A0E8E">
      <w:pPr>
        <w:ind w:left="284"/>
      </w:pPr>
      <w:r>
        <w:t>When payments are eventually made, they are charged to the provision carried in the Balance Sheet. Estimated settlements are reviewed at the end of each financial year – where it becomes less than probable that a transfer of economic benefits will now be required (or a lower settlement than anticipated is made), the provision is reversed and credited back to the relevant service.</w:t>
      </w:r>
    </w:p>
    <w:p w14:paraId="570CE0B0" w14:textId="77777777" w:rsidR="0074364D" w:rsidRPr="0074364D" w:rsidRDefault="002A0E8E" w:rsidP="002A0E8E">
      <w:pPr>
        <w:ind w:left="284"/>
      </w:pPr>
      <w:r>
        <w:t>Where some or all of the payment required to settle a provision is expected to be recovered from another party (</w:t>
      </w:r>
      <w:proofErr w:type="gramStart"/>
      <w:r>
        <w:t>e.g.</w:t>
      </w:r>
      <w:proofErr w:type="gramEnd"/>
      <w:r>
        <w:t xml:space="preserve"> from an insurance claim), this is only recognised as income for the relevant service if it is virtually certain that reimbursement will be received if the Chief Constable settles the obligation.</w:t>
      </w:r>
    </w:p>
    <w:p w14:paraId="2414ACBC" w14:textId="77777777" w:rsidR="0074364D" w:rsidRDefault="0074364D" w:rsidP="007E1A23">
      <w:pPr>
        <w:pStyle w:val="Heading2"/>
        <w:numPr>
          <w:ilvl w:val="1"/>
          <w:numId w:val="4"/>
        </w:numPr>
        <w:ind w:left="851" w:hanging="567"/>
      </w:pPr>
      <w:bookmarkStart w:id="96" w:name="_Toc42205031"/>
      <w:bookmarkStart w:id="97" w:name="_Toc42271383"/>
      <w:bookmarkStart w:id="98" w:name="_Toc42272149"/>
      <w:bookmarkStart w:id="99" w:name="_Toc72330175"/>
      <w:bookmarkStart w:id="100" w:name="_Toc72334829"/>
      <w:bookmarkStart w:id="101" w:name="_Toc144279272"/>
      <w:r w:rsidRPr="0074364D">
        <w:t>Contingent Liabilities</w:t>
      </w:r>
      <w:bookmarkStart w:id="102" w:name="_Toc8217681"/>
      <w:bookmarkEnd w:id="96"/>
      <w:bookmarkEnd w:id="97"/>
      <w:bookmarkEnd w:id="98"/>
      <w:bookmarkEnd w:id="99"/>
      <w:bookmarkEnd w:id="100"/>
      <w:bookmarkEnd w:id="101"/>
    </w:p>
    <w:p w14:paraId="4833783F" w14:textId="77777777" w:rsidR="002A0E8E" w:rsidRDefault="002A0E8E" w:rsidP="002A0E8E">
      <w:pPr>
        <w:ind w:left="284"/>
      </w:pPr>
      <w:r>
        <w:t xml:space="preserve">A contingent liability is where there is a possible obligation to transfer economic benefits due to a past event, but the possible obligation will only be confirmed by the occurrence or non-occurrence of one or more events in the future, not wholly be within the control of the Chief Constable. Contingent liabilities also arise in circumstances where a provision would otherwise be made but either it is not probable that an outflow of resources will be </w:t>
      </w:r>
      <w:proofErr w:type="gramStart"/>
      <w:r>
        <w:t>required</w:t>
      </w:r>
      <w:proofErr w:type="gramEnd"/>
      <w:r>
        <w:t xml:space="preserve"> or the amount of the obligation cannot be measured reliably.</w:t>
      </w:r>
    </w:p>
    <w:p w14:paraId="7998DB74" w14:textId="77777777" w:rsidR="002A0E8E" w:rsidRDefault="002A0E8E" w:rsidP="002A0E8E">
      <w:pPr>
        <w:ind w:left="284"/>
      </w:pPr>
      <w:r>
        <w:t>The Chief Constable discloses these obligations in the narrative notes to the accounts if greater than £100k.</w:t>
      </w:r>
    </w:p>
    <w:p w14:paraId="7827F7C9" w14:textId="77777777" w:rsidR="00BF505C" w:rsidRPr="005C0E56" w:rsidRDefault="002A0E8E" w:rsidP="002A0E8E">
      <w:pPr>
        <w:ind w:left="284"/>
      </w:pPr>
      <w:r>
        <w:t>These amounts are not recorded in the Chief Constable’s accounts because:</w:t>
      </w:r>
    </w:p>
    <w:p w14:paraId="3059C398" w14:textId="77777777" w:rsidR="00BF505C" w:rsidRPr="00276E22" w:rsidRDefault="00BF505C" w:rsidP="002A0E8E">
      <w:pPr>
        <w:pStyle w:val="ListParagraph"/>
        <w:numPr>
          <w:ilvl w:val="0"/>
          <w:numId w:val="8"/>
        </w:numPr>
        <w:tabs>
          <w:tab w:val="left" w:pos="284"/>
        </w:tabs>
        <w:ind w:left="709" w:hanging="284"/>
        <w:contextualSpacing w:val="0"/>
      </w:pPr>
      <w:r w:rsidRPr="00276E22">
        <w:t>It is not probable that an outflow of economic benefits or service potential will be re</w:t>
      </w:r>
      <w:r w:rsidR="002A0E8E">
        <w:t>quired to settle the obligation;</w:t>
      </w:r>
      <w:r w:rsidRPr="00276E22">
        <w:t xml:space="preserve"> or</w:t>
      </w:r>
    </w:p>
    <w:p w14:paraId="7EB17582" w14:textId="77777777" w:rsidR="00373ED7" w:rsidRPr="00373ED7" w:rsidRDefault="00BF505C" w:rsidP="002A0E8E">
      <w:pPr>
        <w:pStyle w:val="ListParagraph"/>
        <w:numPr>
          <w:ilvl w:val="0"/>
          <w:numId w:val="8"/>
        </w:numPr>
        <w:tabs>
          <w:tab w:val="left" w:pos="284"/>
        </w:tabs>
        <w:ind w:left="709" w:hanging="284"/>
        <w:contextualSpacing w:val="0"/>
      </w:pPr>
      <w:r w:rsidRPr="00276E22">
        <w:t>The amount of the obligation cannot be measured with sufficient reliability at the year end.</w:t>
      </w:r>
    </w:p>
    <w:p w14:paraId="78F5ED84" w14:textId="77777777" w:rsidR="0074364D" w:rsidRPr="0074364D" w:rsidRDefault="0074364D" w:rsidP="007E1A23">
      <w:pPr>
        <w:pStyle w:val="Heading2"/>
        <w:numPr>
          <w:ilvl w:val="1"/>
          <w:numId w:val="4"/>
        </w:numPr>
        <w:ind w:left="851" w:hanging="567"/>
      </w:pPr>
      <w:bookmarkStart w:id="103" w:name="_Toc42205032"/>
      <w:bookmarkStart w:id="104" w:name="_Toc42271384"/>
      <w:bookmarkStart w:id="105" w:name="_Toc42272150"/>
      <w:bookmarkStart w:id="106" w:name="_Toc72330176"/>
      <w:bookmarkStart w:id="107" w:name="_Toc72334830"/>
      <w:bookmarkStart w:id="108" w:name="_Toc144279273"/>
      <w:bookmarkEnd w:id="102"/>
      <w:r w:rsidRPr="0074364D">
        <w:t>Contingent Assets</w:t>
      </w:r>
      <w:bookmarkEnd w:id="103"/>
      <w:bookmarkEnd w:id="104"/>
      <w:bookmarkEnd w:id="105"/>
      <w:bookmarkEnd w:id="106"/>
      <w:bookmarkEnd w:id="107"/>
      <w:bookmarkEnd w:id="108"/>
    </w:p>
    <w:p w14:paraId="0DA5D35F" w14:textId="77777777" w:rsidR="0074364D" w:rsidRPr="0074364D" w:rsidRDefault="0074364D" w:rsidP="00540C64">
      <w:pPr>
        <w:ind w:left="284"/>
      </w:pPr>
      <w:r w:rsidRPr="0074364D">
        <w:t xml:space="preserve">A contingent asset is where there is a possible transfer of economic benefit to the Chief Constable from a past event, but the possible transfer will only be confirmed by the </w:t>
      </w:r>
      <w:r w:rsidRPr="0074364D">
        <w:lastRenderedPageBreak/>
        <w:t>occurrence or non-occurrence of one or more events in the future.  These events may not wholly be within the control of the Chief Constable.</w:t>
      </w:r>
    </w:p>
    <w:p w14:paraId="2DAAA513" w14:textId="77777777" w:rsidR="0074364D" w:rsidRPr="0074364D" w:rsidRDefault="0074364D" w:rsidP="00540C64">
      <w:pPr>
        <w:ind w:left="284"/>
      </w:pPr>
      <w:r w:rsidRPr="0074364D">
        <w:t>The Chief Constable discloses these rights in the narrative notes to the accounts if greater than £100k.</w:t>
      </w:r>
    </w:p>
    <w:p w14:paraId="068BA146" w14:textId="77777777" w:rsidR="0074364D" w:rsidRPr="0074364D" w:rsidRDefault="0074364D" w:rsidP="007E1A23">
      <w:pPr>
        <w:pStyle w:val="Heading2"/>
        <w:numPr>
          <w:ilvl w:val="1"/>
          <w:numId w:val="4"/>
        </w:numPr>
        <w:ind w:left="851" w:hanging="567"/>
      </w:pPr>
      <w:bookmarkStart w:id="109" w:name="_Toc42205033"/>
      <w:bookmarkStart w:id="110" w:name="_Toc42271385"/>
      <w:bookmarkStart w:id="111" w:name="_Toc42272151"/>
      <w:bookmarkStart w:id="112" w:name="_Toc72330177"/>
      <w:bookmarkStart w:id="113" w:name="_Toc72334831"/>
      <w:bookmarkStart w:id="114" w:name="_Toc144279274"/>
      <w:r w:rsidRPr="0074364D">
        <w:t>Cost of Overheads and Support Services</w:t>
      </w:r>
      <w:bookmarkEnd w:id="109"/>
      <w:bookmarkEnd w:id="110"/>
      <w:bookmarkEnd w:id="111"/>
      <w:bookmarkEnd w:id="112"/>
      <w:bookmarkEnd w:id="113"/>
      <w:bookmarkEnd w:id="114"/>
    </w:p>
    <w:p w14:paraId="35B6A5F7" w14:textId="77777777" w:rsidR="0074364D" w:rsidRPr="00540C64" w:rsidRDefault="0074364D" w:rsidP="00540C64">
      <w:pPr>
        <w:ind w:left="284"/>
      </w:pPr>
      <w:r w:rsidRPr="0074364D">
        <w:t>The costs of overheads and support services are charged to service segments in accordance with the authority’s arrangements for accountability and financial performance.</w:t>
      </w:r>
    </w:p>
    <w:p w14:paraId="3B09BCAA" w14:textId="77777777" w:rsidR="0074364D" w:rsidRPr="0074364D" w:rsidRDefault="0074364D" w:rsidP="007E1A23">
      <w:pPr>
        <w:pStyle w:val="Heading2"/>
        <w:numPr>
          <w:ilvl w:val="1"/>
          <w:numId w:val="4"/>
        </w:numPr>
        <w:ind w:left="851" w:hanging="567"/>
      </w:pPr>
      <w:bookmarkStart w:id="115" w:name="_Toc42205034"/>
      <w:bookmarkStart w:id="116" w:name="_Toc42271386"/>
      <w:bookmarkStart w:id="117" w:name="_Toc42272152"/>
      <w:bookmarkStart w:id="118" w:name="_Toc72330178"/>
      <w:bookmarkStart w:id="119" w:name="_Toc72334832"/>
      <w:bookmarkStart w:id="120" w:name="_Toc144279275"/>
      <w:r w:rsidRPr="0074364D">
        <w:t>Value Added Tax (VAT)</w:t>
      </w:r>
      <w:bookmarkEnd w:id="115"/>
      <w:bookmarkEnd w:id="116"/>
      <w:bookmarkEnd w:id="117"/>
      <w:bookmarkEnd w:id="118"/>
      <w:bookmarkEnd w:id="119"/>
      <w:bookmarkEnd w:id="120"/>
    </w:p>
    <w:p w14:paraId="7F97879E" w14:textId="77777777" w:rsidR="0074364D" w:rsidRPr="0074364D" w:rsidRDefault="0074364D" w:rsidP="00540C64">
      <w:pPr>
        <w:ind w:left="284"/>
      </w:pPr>
      <w:r w:rsidRPr="0074364D">
        <w:t>The Chief Constable does not submit a VAT return.  The PCC submits a single VAT return on behalf of the Group.  Expenditure in the Comprehensive Income and Expenditure Statement excludes any amounts relating to VAT as it is all remitted to / from HM Revenue and Customs.</w:t>
      </w:r>
    </w:p>
    <w:p w14:paraId="733AABA3" w14:textId="77777777" w:rsidR="0074364D" w:rsidRPr="0074364D" w:rsidRDefault="0074364D" w:rsidP="007E1A23">
      <w:pPr>
        <w:pStyle w:val="Heading2"/>
        <w:numPr>
          <w:ilvl w:val="1"/>
          <w:numId w:val="4"/>
        </w:numPr>
        <w:ind w:left="851" w:hanging="567"/>
      </w:pPr>
      <w:bookmarkStart w:id="121" w:name="_Toc42205035"/>
      <w:bookmarkStart w:id="122" w:name="_Toc42271387"/>
      <w:bookmarkStart w:id="123" w:name="_Toc42272153"/>
      <w:bookmarkStart w:id="124" w:name="_Toc72330179"/>
      <w:bookmarkStart w:id="125" w:name="_Toc72334833"/>
      <w:bookmarkStart w:id="126" w:name="_Toc144279276"/>
      <w:r w:rsidRPr="0074364D">
        <w:t>Events After the Reporting Period</w:t>
      </w:r>
      <w:bookmarkEnd w:id="121"/>
      <w:bookmarkEnd w:id="122"/>
      <w:bookmarkEnd w:id="123"/>
      <w:bookmarkEnd w:id="124"/>
      <w:bookmarkEnd w:id="125"/>
      <w:bookmarkEnd w:id="126"/>
    </w:p>
    <w:p w14:paraId="2CD77424" w14:textId="77777777" w:rsidR="0074364D" w:rsidRPr="0074364D" w:rsidRDefault="0074364D" w:rsidP="00540C64">
      <w:pPr>
        <w:ind w:left="284"/>
      </w:pPr>
      <w:r w:rsidRPr="0074364D">
        <w:t xml:space="preserve">Events after the Balance Sheet date are those events, both favourable and unfavourable, that occur between the end of the reporting period and the date when the Statement of Accounts is authorised for issue. Two types of events can be identified: </w:t>
      </w:r>
    </w:p>
    <w:p w14:paraId="608F6085" w14:textId="77777777" w:rsidR="0074364D" w:rsidRPr="0074364D" w:rsidRDefault="0074364D" w:rsidP="007E1A23">
      <w:pPr>
        <w:pStyle w:val="ListParagraph"/>
        <w:numPr>
          <w:ilvl w:val="0"/>
          <w:numId w:val="3"/>
        </w:numPr>
        <w:ind w:left="709" w:hanging="284"/>
        <w:contextualSpacing w:val="0"/>
      </w:pPr>
      <w:r w:rsidRPr="0074364D">
        <w:t xml:space="preserve">Those that provide evidence of conditions that existed at the end of the reporting period for which the Statement of Accounts is adjusted to reflect such </w:t>
      </w:r>
      <w:proofErr w:type="gramStart"/>
      <w:r w:rsidRPr="0074364D">
        <w:t>events;</w:t>
      </w:r>
      <w:proofErr w:type="gramEnd"/>
      <w:r w:rsidRPr="0074364D">
        <w:t xml:space="preserve"> </w:t>
      </w:r>
    </w:p>
    <w:p w14:paraId="7776A72E" w14:textId="77777777" w:rsidR="0074364D" w:rsidRPr="0074364D" w:rsidRDefault="0074364D" w:rsidP="007E1A23">
      <w:pPr>
        <w:pStyle w:val="ListParagraph"/>
        <w:numPr>
          <w:ilvl w:val="0"/>
          <w:numId w:val="3"/>
        </w:numPr>
        <w:ind w:left="709" w:hanging="284"/>
        <w:contextualSpacing w:val="0"/>
      </w:pPr>
      <w:r w:rsidRPr="0074364D">
        <w:t xml:space="preserve">Those that are indicative of conditions that arose after the reporting period for which the Statement of Accounts is not adjusted to reflect such events, but where a category of events would have a material effect, disclosure is made in the notes of the nature of the events and their estimated financial effect. </w:t>
      </w:r>
    </w:p>
    <w:p w14:paraId="1DF879E3" w14:textId="77777777" w:rsidR="0074364D" w:rsidRPr="0074364D" w:rsidRDefault="0074364D" w:rsidP="00540C64">
      <w:pPr>
        <w:ind w:left="284"/>
      </w:pPr>
      <w:r w:rsidRPr="0074364D">
        <w:t>Events taking place after the date of authorisation for issue are not reflected in the Statement of Accounts.</w:t>
      </w:r>
    </w:p>
    <w:p w14:paraId="6068BBC6" w14:textId="77777777" w:rsidR="0074364D" w:rsidRPr="0074364D" w:rsidRDefault="0074364D" w:rsidP="007E1A23">
      <w:pPr>
        <w:pStyle w:val="Heading2"/>
        <w:numPr>
          <w:ilvl w:val="1"/>
          <w:numId w:val="4"/>
        </w:numPr>
        <w:ind w:left="851" w:hanging="567"/>
      </w:pPr>
      <w:bookmarkStart w:id="127" w:name="_Toc42205036"/>
      <w:bookmarkStart w:id="128" w:name="_Toc42271388"/>
      <w:bookmarkStart w:id="129" w:name="_Toc42272154"/>
      <w:bookmarkStart w:id="130" w:name="_Toc72330180"/>
      <w:bookmarkStart w:id="131" w:name="_Toc72334834"/>
      <w:bookmarkStart w:id="132" w:name="_Toc144279277"/>
      <w:r w:rsidRPr="0074364D">
        <w:t>Recognition of Revenue (Income and Expenditure)</w:t>
      </w:r>
      <w:bookmarkEnd w:id="127"/>
      <w:bookmarkEnd w:id="128"/>
      <w:bookmarkEnd w:id="129"/>
      <w:bookmarkEnd w:id="130"/>
      <w:bookmarkEnd w:id="131"/>
      <w:bookmarkEnd w:id="132"/>
    </w:p>
    <w:p w14:paraId="2CF8919E" w14:textId="77777777" w:rsidR="0074364D" w:rsidRPr="0074364D" w:rsidRDefault="0074364D" w:rsidP="00540C64">
      <w:pPr>
        <w:ind w:left="284"/>
      </w:pPr>
      <w:r w:rsidRPr="0074364D">
        <w:t>Revenue shall be measured at the fair value of the consideration received or receivable. Revenue is recognised only when it is probable that the economic benefits or service potential associated with the transaction will flow to the Chief Constable.</w:t>
      </w:r>
    </w:p>
    <w:p w14:paraId="56F72972" w14:textId="77777777" w:rsidR="0074364D" w:rsidRPr="0074364D" w:rsidRDefault="0074364D" w:rsidP="007E1A23">
      <w:pPr>
        <w:pStyle w:val="Heading2"/>
        <w:numPr>
          <w:ilvl w:val="1"/>
          <w:numId w:val="4"/>
        </w:numPr>
        <w:ind w:left="851" w:hanging="567"/>
      </w:pPr>
      <w:bookmarkStart w:id="133" w:name="_Toc42205037"/>
      <w:bookmarkStart w:id="134" w:name="_Toc42271389"/>
      <w:bookmarkStart w:id="135" w:name="_Toc42272155"/>
      <w:bookmarkStart w:id="136" w:name="_Toc72330181"/>
      <w:bookmarkStart w:id="137" w:name="_Toc72334835"/>
      <w:bookmarkStart w:id="138" w:name="_Toc144279278"/>
      <w:r w:rsidRPr="0074364D">
        <w:t>Government Grants and Contributions</w:t>
      </w:r>
      <w:bookmarkEnd w:id="133"/>
      <w:bookmarkEnd w:id="134"/>
      <w:bookmarkEnd w:id="135"/>
      <w:bookmarkEnd w:id="136"/>
      <w:bookmarkEnd w:id="137"/>
      <w:bookmarkEnd w:id="138"/>
      <w:r w:rsidRPr="0074364D">
        <w:t xml:space="preserve"> </w:t>
      </w:r>
    </w:p>
    <w:p w14:paraId="62FDEC74" w14:textId="77777777" w:rsidR="0074364D" w:rsidRPr="0074364D" w:rsidRDefault="0074364D" w:rsidP="00540C64">
      <w:pPr>
        <w:ind w:left="284"/>
      </w:pPr>
      <w:r w:rsidRPr="0074364D">
        <w:t xml:space="preserve">Whether paid on account, by instalments or in arrears, government grants and third party contributions and donations are recognised as due to the Chief </w:t>
      </w:r>
      <w:proofErr w:type="gramStart"/>
      <w:r w:rsidRPr="0074364D">
        <w:t>Constable  when</w:t>
      </w:r>
      <w:proofErr w:type="gramEnd"/>
      <w:r w:rsidRPr="0074364D">
        <w:t xml:space="preserve"> there is reasonable assurance that:</w:t>
      </w:r>
    </w:p>
    <w:p w14:paraId="42650983" w14:textId="77777777" w:rsidR="0074364D" w:rsidRPr="0074364D" w:rsidRDefault="0074364D" w:rsidP="007E1A23">
      <w:pPr>
        <w:pStyle w:val="ListParagraph"/>
        <w:numPr>
          <w:ilvl w:val="0"/>
          <w:numId w:val="3"/>
        </w:numPr>
        <w:ind w:left="709" w:hanging="284"/>
        <w:contextualSpacing w:val="0"/>
      </w:pPr>
      <w:r w:rsidRPr="0074364D">
        <w:t xml:space="preserve">The Chief Constable will comply with the conditions attached to the </w:t>
      </w:r>
      <w:proofErr w:type="gramStart"/>
      <w:r w:rsidRPr="0074364D">
        <w:t>payments;</w:t>
      </w:r>
      <w:proofErr w:type="gramEnd"/>
    </w:p>
    <w:p w14:paraId="392ACB98" w14:textId="77777777" w:rsidR="0074364D" w:rsidRPr="0074364D" w:rsidRDefault="0074364D" w:rsidP="007E1A23">
      <w:pPr>
        <w:pStyle w:val="ListParagraph"/>
        <w:numPr>
          <w:ilvl w:val="0"/>
          <w:numId w:val="3"/>
        </w:numPr>
        <w:ind w:left="709" w:hanging="284"/>
        <w:contextualSpacing w:val="0"/>
      </w:pPr>
      <w:r w:rsidRPr="0074364D">
        <w:t>The grants or contributions will be received.</w:t>
      </w:r>
    </w:p>
    <w:p w14:paraId="39D15A5D" w14:textId="77777777" w:rsidR="00BA6403" w:rsidRDefault="00BA6403" w:rsidP="00BA6403">
      <w:pPr>
        <w:ind w:left="284"/>
      </w:pPr>
      <w:r>
        <w:t>Amounts recognised as due to the Chief Constable are not credited to the Comprehensive Income and Expenditure Statement until conditions attached to the grant or contribution have been satisfied. Conditions are stipulations that specify that the future economic benefits or service potential embodied in the asset in the form of the grant or contribution are required to be consumed by the recipient as specified, or future economic benefits or service potential must be returned to the transferor.</w:t>
      </w:r>
    </w:p>
    <w:p w14:paraId="2F847AF3" w14:textId="77777777" w:rsidR="00BA6403" w:rsidRDefault="00BA6403" w:rsidP="00BA6403">
      <w:pPr>
        <w:ind w:left="284"/>
      </w:pPr>
      <w:r>
        <w:lastRenderedPageBreak/>
        <w:t>Monies advanced as grants and contributions for which conditions have not been satisfied are carried in the Balance Sheet as creditors. When conditions are satisfied, the grant or contribution is credited to the relevant service line (attributable revenue grants and contributions) or Taxation and Non-specific Grant Income and Expenditure (non-ring-fenced revenue grants and all capital grants) in the Comprehensive Income and Expenditure Statement.</w:t>
      </w:r>
    </w:p>
    <w:p w14:paraId="086D9BF7" w14:textId="77777777" w:rsidR="0074364D" w:rsidRPr="0074364D" w:rsidRDefault="00BA6403" w:rsidP="00BA6403">
      <w:pPr>
        <w:ind w:left="284"/>
      </w:pPr>
      <w:r>
        <w:t>Where capital grants are credited to the Comprehensive Income and Expenditure Statement, they are reversed out of the General Fund Balance in the Movement in Reserves Statement. Where the grant has yet to be used to finance capital expenditure, it is posted to the Capital Grants Unapplied reserve. Where it has been applied, it is posted to the Capital Adjustment Account. Amounts in the Capital Grants Unapplied reserve are transferred to the Capital Adjustment Account once they have been applied to fund capital expenditure.</w:t>
      </w:r>
    </w:p>
    <w:p w14:paraId="7005047B" w14:textId="77777777" w:rsidR="0074364D" w:rsidRPr="0074364D" w:rsidRDefault="0074364D" w:rsidP="007E1A23">
      <w:pPr>
        <w:pStyle w:val="Heading2"/>
        <w:numPr>
          <w:ilvl w:val="1"/>
          <w:numId w:val="4"/>
        </w:numPr>
        <w:ind w:left="851" w:hanging="567"/>
      </w:pPr>
      <w:bookmarkStart w:id="139" w:name="_Toc42205038"/>
      <w:bookmarkStart w:id="140" w:name="_Toc42271390"/>
      <w:bookmarkStart w:id="141" w:name="_Toc42272156"/>
      <w:bookmarkStart w:id="142" w:name="_Toc72330182"/>
      <w:bookmarkStart w:id="143" w:name="_Toc72334836"/>
      <w:bookmarkStart w:id="144" w:name="_Toc144279279"/>
      <w:r w:rsidRPr="0074364D">
        <w:t>Reserves</w:t>
      </w:r>
      <w:bookmarkEnd w:id="139"/>
      <w:bookmarkEnd w:id="140"/>
      <w:bookmarkEnd w:id="141"/>
      <w:bookmarkEnd w:id="142"/>
      <w:bookmarkEnd w:id="143"/>
      <w:bookmarkEnd w:id="144"/>
    </w:p>
    <w:p w14:paraId="0B89D3E7" w14:textId="77777777" w:rsidR="0074364D" w:rsidRPr="0074364D" w:rsidRDefault="0074364D" w:rsidP="007E1A23">
      <w:pPr>
        <w:pStyle w:val="Heading2"/>
        <w:numPr>
          <w:ilvl w:val="2"/>
          <w:numId w:val="4"/>
        </w:numPr>
        <w:ind w:left="993" w:hanging="426"/>
      </w:pPr>
      <w:bookmarkStart w:id="145" w:name="_Toc42205039"/>
      <w:bookmarkStart w:id="146" w:name="_Toc42271391"/>
      <w:bookmarkStart w:id="147" w:name="_Toc42272157"/>
      <w:bookmarkStart w:id="148" w:name="_Toc72330183"/>
      <w:bookmarkStart w:id="149" w:name="_Toc72334837"/>
      <w:bookmarkStart w:id="150" w:name="_Toc144279280"/>
      <w:r w:rsidRPr="0074364D">
        <w:t>Useable Reserves</w:t>
      </w:r>
      <w:bookmarkEnd w:id="145"/>
      <w:bookmarkEnd w:id="146"/>
      <w:bookmarkEnd w:id="147"/>
      <w:bookmarkEnd w:id="148"/>
      <w:bookmarkEnd w:id="149"/>
      <w:bookmarkEnd w:id="150"/>
    </w:p>
    <w:p w14:paraId="41930A14" w14:textId="77777777" w:rsidR="0074364D" w:rsidRPr="0074364D" w:rsidRDefault="0074364D" w:rsidP="00540C64">
      <w:pPr>
        <w:ind w:left="567"/>
      </w:pPr>
      <w:r w:rsidRPr="0074364D">
        <w:t>The Chief Constable does not maintain usable reserves.  Its main source of income in the year is an intra-group transfer from the PCC, which is matched to its net resources expended, with all additional surplus or deficit held by the PCC.</w:t>
      </w:r>
    </w:p>
    <w:p w14:paraId="40F66DD8" w14:textId="77777777" w:rsidR="0074364D" w:rsidRPr="0074364D" w:rsidRDefault="0074364D" w:rsidP="007E1A23">
      <w:pPr>
        <w:pStyle w:val="Heading2"/>
        <w:numPr>
          <w:ilvl w:val="2"/>
          <w:numId w:val="4"/>
        </w:numPr>
        <w:ind w:left="993" w:hanging="426"/>
      </w:pPr>
      <w:bookmarkStart w:id="151" w:name="_Toc42205040"/>
      <w:bookmarkStart w:id="152" w:name="_Toc42271392"/>
      <w:bookmarkStart w:id="153" w:name="_Toc42272158"/>
      <w:bookmarkStart w:id="154" w:name="_Toc72330184"/>
      <w:bookmarkStart w:id="155" w:name="_Toc72334838"/>
      <w:bookmarkStart w:id="156" w:name="_Toc144279281"/>
      <w:r w:rsidRPr="0074364D">
        <w:t>Unusable Reserves</w:t>
      </w:r>
      <w:bookmarkEnd w:id="151"/>
      <w:bookmarkEnd w:id="152"/>
      <w:bookmarkEnd w:id="153"/>
      <w:bookmarkEnd w:id="154"/>
      <w:bookmarkEnd w:id="155"/>
      <w:bookmarkEnd w:id="156"/>
    </w:p>
    <w:p w14:paraId="48E0C35F" w14:textId="77777777" w:rsidR="0074364D" w:rsidRPr="00540C64" w:rsidRDefault="0074364D" w:rsidP="00540C64">
      <w:pPr>
        <w:ind w:left="567"/>
      </w:pPr>
      <w:r w:rsidRPr="0074364D">
        <w:t>The Chief Constable keeps a pensions reserve to maintain the accounting processes for retirement benefits and the related provisions.  These reserves do not represent usable resources for the Chief Constable.</w:t>
      </w:r>
    </w:p>
    <w:p w14:paraId="71B3ED6C" w14:textId="77777777" w:rsidR="0074364D" w:rsidRPr="0074364D" w:rsidRDefault="0074364D" w:rsidP="007E1A23">
      <w:pPr>
        <w:pStyle w:val="Heading2"/>
        <w:numPr>
          <w:ilvl w:val="1"/>
          <w:numId w:val="4"/>
        </w:numPr>
        <w:ind w:left="851" w:hanging="567"/>
      </w:pPr>
      <w:bookmarkStart w:id="157" w:name="_Toc42205041"/>
      <w:bookmarkStart w:id="158" w:name="_Toc42271393"/>
      <w:bookmarkStart w:id="159" w:name="_Toc42272159"/>
      <w:bookmarkStart w:id="160" w:name="_Toc72330185"/>
      <w:bookmarkStart w:id="161" w:name="_Toc72334839"/>
      <w:bookmarkStart w:id="162" w:name="_Toc144279282"/>
      <w:r w:rsidRPr="0074364D">
        <w:t>Employee Benefits</w:t>
      </w:r>
      <w:bookmarkEnd w:id="157"/>
      <w:bookmarkEnd w:id="158"/>
      <w:bookmarkEnd w:id="159"/>
      <w:bookmarkEnd w:id="160"/>
      <w:bookmarkEnd w:id="161"/>
      <w:bookmarkEnd w:id="162"/>
      <w:r w:rsidRPr="0074364D">
        <w:t xml:space="preserve"> </w:t>
      </w:r>
    </w:p>
    <w:p w14:paraId="1EA8473D" w14:textId="77777777" w:rsidR="0074364D" w:rsidRPr="0074364D" w:rsidRDefault="0074364D" w:rsidP="007E1A23">
      <w:pPr>
        <w:pStyle w:val="Heading2"/>
        <w:numPr>
          <w:ilvl w:val="2"/>
          <w:numId w:val="4"/>
        </w:numPr>
        <w:ind w:left="993" w:hanging="426"/>
      </w:pPr>
      <w:bookmarkStart w:id="163" w:name="_Toc42205042"/>
      <w:bookmarkStart w:id="164" w:name="_Toc42271394"/>
      <w:bookmarkStart w:id="165" w:name="_Toc42272160"/>
      <w:bookmarkStart w:id="166" w:name="_Toc72330186"/>
      <w:bookmarkStart w:id="167" w:name="_Toc72334840"/>
      <w:bookmarkStart w:id="168" w:name="_Toc144279283"/>
      <w:r w:rsidRPr="0074364D">
        <w:t>Benefits Payable during Employment</w:t>
      </w:r>
      <w:bookmarkEnd w:id="163"/>
      <w:bookmarkEnd w:id="164"/>
      <w:bookmarkEnd w:id="165"/>
      <w:bookmarkEnd w:id="166"/>
      <w:bookmarkEnd w:id="167"/>
      <w:bookmarkEnd w:id="168"/>
    </w:p>
    <w:p w14:paraId="38C1C481" w14:textId="77777777" w:rsidR="00BA6403" w:rsidRDefault="00BA6403" w:rsidP="00BA6403">
      <w:pPr>
        <w:ind w:left="567"/>
      </w:pPr>
      <w:r>
        <w:t>Short-term employee benefits are those due to be settled wholly within 12 months of the year-end. They include such benefits as wages and salaries, paid annual leave and paid sick leave, bonuses and non-monetary benefits for current employees and are recognised as an expense for services in the year in which employees render service to the Chief Constable. A provision is made for the cost of unused leave earned by employees, but not taken before the year-end.</w:t>
      </w:r>
    </w:p>
    <w:p w14:paraId="7C9C5E6E" w14:textId="77777777" w:rsidR="00543490" w:rsidRDefault="00BA6403" w:rsidP="00BA6403">
      <w:pPr>
        <w:ind w:left="567"/>
      </w:pPr>
      <w:r>
        <w:t>The accrual is made at the wage and salary rates applicable in the following accounting year, being the period in which the employee takes the benefit. The accrual is charged to Surplus or Deficit on the Provision of Services, but then reversed out through the Movement in Reserves Statement so that holiday entitlements are charged to revenue in the financial year in which the absence occurs.</w:t>
      </w:r>
    </w:p>
    <w:p w14:paraId="15DF8C70" w14:textId="77777777" w:rsidR="0074364D" w:rsidRPr="0074364D" w:rsidRDefault="0074364D" w:rsidP="007E1A23">
      <w:pPr>
        <w:pStyle w:val="Heading2"/>
        <w:numPr>
          <w:ilvl w:val="2"/>
          <w:numId w:val="4"/>
        </w:numPr>
        <w:ind w:left="993" w:hanging="426"/>
      </w:pPr>
      <w:bookmarkStart w:id="169" w:name="_Toc42205043"/>
      <w:bookmarkStart w:id="170" w:name="_Toc42271395"/>
      <w:bookmarkStart w:id="171" w:name="_Toc42272161"/>
      <w:bookmarkStart w:id="172" w:name="_Toc72330187"/>
      <w:bookmarkStart w:id="173" w:name="_Toc72334841"/>
      <w:bookmarkStart w:id="174" w:name="_Toc144279284"/>
      <w:r w:rsidRPr="0074364D">
        <w:t>Termination Benefits</w:t>
      </w:r>
      <w:bookmarkEnd w:id="169"/>
      <w:bookmarkEnd w:id="170"/>
      <w:bookmarkEnd w:id="171"/>
      <w:bookmarkEnd w:id="172"/>
      <w:bookmarkEnd w:id="173"/>
      <w:bookmarkEnd w:id="174"/>
      <w:r w:rsidRPr="0074364D">
        <w:t xml:space="preserve"> </w:t>
      </w:r>
    </w:p>
    <w:p w14:paraId="3C1B5C82" w14:textId="77777777" w:rsidR="0074364D" w:rsidRPr="0074364D" w:rsidRDefault="00BA6403" w:rsidP="00540C64">
      <w:pPr>
        <w:ind w:left="567"/>
      </w:pPr>
      <w:r w:rsidRPr="00BA6403">
        <w:t xml:space="preserve">Termination benefits are amounts payable as a result of a decision by the Chief Constable to terminate an officer’s employment before the normal retirement date or an officer’s decision to accept voluntary redundancy in exchange for those benefits and are charged on an accruals basis to the appropriate service segment or, where applicable, to a corporate service segment at the earlier of when the Chief Constable can no longer withdraw the offer of those benefits or when the Chief Constable recognises costs for a restructuring. Where termination benefits involve the enhancement of pensions, statutory provisions require the General Fund Balance to be charged with the amount </w:t>
      </w:r>
      <w:r w:rsidRPr="00BA6403">
        <w:lastRenderedPageBreak/>
        <w:t>payable by the Chief Constable to the pension fund or pensioner in the year, not the amount calculated according to the relevant accounting standards. In the Movement in Reserves Statement, appropriations are required to and from the Pensions Reserve to remove the notional debits and credits for pension enhancement termination benefits and replace them with debits for the cash paid to the pension fund and pensioners and any such amounts payable but unpaid at the year-end.</w:t>
      </w:r>
    </w:p>
    <w:p w14:paraId="00B8CD6F" w14:textId="77777777" w:rsidR="0074364D" w:rsidRPr="0074364D" w:rsidRDefault="0074364D" w:rsidP="007E1A23">
      <w:pPr>
        <w:pStyle w:val="Heading2"/>
        <w:numPr>
          <w:ilvl w:val="2"/>
          <w:numId w:val="4"/>
        </w:numPr>
        <w:ind w:left="993" w:hanging="426"/>
      </w:pPr>
      <w:bookmarkStart w:id="175" w:name="_Toc42205044"/>
      <w:bookmarkStart w:id="176" w:name="_Toc42271396"/>
      <w:bookmarkStart w:id="177" w:name="_Toc42272162"/>
      <w:bookmarkStart w:id="178" w:name="_Toc72330188"/>
      <w:bookmarkStart w:id="179" w:name="_Toc72334842"/>
      <w:bookmarkStart w:id="180" w:name="_Toc144279285"/>
      <w:r w:rsidRPr="0074364D">
        <w:t>Post-employment Benefits</w:t>
      </w:r>
      <w:bookmarkEnd w:id="175"/>
      <w:bookmarkEnd w:id="176"/>
      <w:bookmarkEnd w:id="177"/>
      <w:bookmarkEnd w:id="178"/>
      <w:bookmarkEnd w:id="179"/>
      <w:bookmarkEnd w:id="180"/>
    </w:p>
    <w:p w14:paraId="4CADC582" w14:textId="77777777" w:rsidR="0074364D" w:rsidRPr="0074364D" w:rsidRDefault="0074364D" w:rsidP="00540C64">
      <w:pPr>
        <w:ind w:left="567"/>
      </w:pPr>
      <w:r w:rsidRPr="0074364D">
        <w:t xml:space="preserve">Employees of the Chief Constable are members of two separate pension schemes: </w:t>
      </w:r>
    </w:p>
    <w:p w14:paraId="417EF02F" w14:textId="77777777" w:rsidR="0074364D" w:rsidRPr="0074364D" w:rsidRDefault="0074364D" w:rsidP="007E1A23">
      <w:pPr>
        <w:pStyle w:val="ListParagraph"/>
        <w:numPr>
          <w:ilvl w:val="0"/>
          <w:numId w:val="3"/>
        </w:numPr>
        <w:ind w:left="993" w:hanging="284"/>
        <w:contextualSpacing w:val="0"/>
      </w:pPr>
      <w:r w:rsidRPr="0074364D">
        <w:t xml:space="preserve">The Police Officer Pension Scheme, for which the scheme manager is the Chief </w:t>
      </w:r>
      <w:proofErr w:type="gramStart"/>
      <w:r w:rsidRPr="0074364D">
        <w:t>Constable;</w:t>
      </w:r>
      <w:proofErr w:type="gramEnd"/>
    </w:p>
    <w:p w14:paraId="3DD105DA" w14:textId="77777777" w:rsidR="0074364D" w:rsidRPr="0074364D" w:rsidRDefault="0074364D" w:rsidP="007E1A23">
      <w:pPr>
        <w:pStyle w:val="ListParagraph"/>
        <w:numPr>
          <w:ilvl w:val="0"/>
          <w:numId w:val="3"/>
        </w:numPr>
        <w:ind w:left="993" w:hanging="284"/>
        <w:contextualSpacing w:val="0"/>
      </w:pPr>
      <w:r w:rsidRPr="0074364D">
        <w:t>The Local Government Pensions Scheme, administered by West Yorkshire Pension Fund on behalf of Lincolnshire County Council.</w:t>
      </w:r>
    </w:p>
    <w:p w14:paraId="16DA60AD" w14:textId="77777777" w:rsidR="0074364D" w:rsidRPr="0074364D" w:rsidRDefault="0074364D" w:rsidP="00540C64">
      <w:pPr>
        <w:ind w:left="567"/>
      </w:pPr>
      <w:r w:rsidRPr="0074364D">
        <w:t>Both schemes provide defined benefits to members (retirement lump sums and pensions), earned as employees.</w:t>
      </w:r>
    </w:p>
    <w:p w14:paraId="52BB9694" w14:textId="77777777" w:rsidR="0074364D" w:rsidRPr="0074364D" w:rsidRDefault="0074364D" w:rsidP="007E1A23">
      <w:pPr>
        <w:pStyle w:val="Heading2"/>
        <w:numPr>
          <w:ilvl w:val="2"/>
          <w:numId w:val="4"/>
        </w:numPr>
        <w:ind w:left="993" w:hanging="426"/>
      </w:pPr>
      <w:bookmarkStart w:id="181" w:name="_Toc42205045"/>
      <w:bookmarkStart w:id="182" w:name="_Toc42271397"/>
      <w:bookmarkStart w:id="183" w:name="_Toc42272163"/>
      <w:bookmarkStart w:id="184" w:name="_Toc72330189"/>
      <w:bookmarkStart w:id="185" w:name="_Toc72334843"/>
      <w:bookmarkStart w:id="186" w:name="_Toc144279286"/>
      <w:r w:rsidRPr="0074364D">
        <w:t>Local Government Pension Scheme</w:t>
      </w:r>
      <w:bookmarkEnd w:id="181"/>
      <w:bookmarkEnd w:id="182"/>
      <w:bookmarkEnd w:id="183"/>
      <w:bookmarkEnd w:id="184"/>
      <w:bookmarkEnd w:id="185"/>
      <w:bookmarkEnd w:id="186"/>
    </w:p>
    <w:p w14:paraId="018C7B6B" w14:textId="77777777" w:rsidR="0074364D" w:rsidRPr="0074364D" w:rsidRDefault="0074364D" w:rsidP="00540C64">
      <w:pPr>
        <w:ind w:left="567"/>
      </w:pPr>
      <w:r w:rsidRPr="0074364D">
        <w:t>The Local Government Scheme is accounted for as a defined benefits scheme:</w:t>
      </w:r>
    </w:p>
    <w:p w14:paraId="05676E93" w14:textId="77777777" w:rsidR="0074364D" w:rsidRPr="0074364D" w:rsidRDefault="0074364D" w:rsidP="007E1A23">
      <w:pPr>
        <w:pStyle w:val="ListParagraph"/>
        <w:numPr>
          <w:ilvl w:val="0"/>
          <w:numId w:val="3"/>
        </w:numPr>
        <w:ind w:left="993" w:hanging="284"/>
        <w:contextualSpacing w:val="0"/>
      </w:pPr>
      <w:r w:rsidRPr="0074364D">
        <w:t xml:space="preserve">The liabilities of the Lincolnshire pension fund attributable to the Chief Constable are included in the Balance Sheet on an actuarial basis using the projected unit method, </w:t>
      </w:r>
      <w:proofErr w:type="gramStart"/>
      <w:r w:rsidRPr="0074364D">
        <w:t>i.e.</w:t>
      </w:r>
      <w:proofErr w:type="gramEnd"/>
      <w:r w:rsidRPr="0074364D">
        <w:t xml:space="preserve"> an assessment of the future payments that will be made in relation to retirement benefits earned to date by employees, based on assumptions about mortality rates, employee turnover rates, etc., and projections of earnings for current employees;</w:t>
      </w:r>
    </w:p>
    <w:p w14:paraId="6C09A171" w14:textId="70F2CC6A" w:rsidR="0074364D" w:rsidRPr="0074364D" w:rsidRDefault="0074364D" w:rsidP="007E1A23">
      <w:pPr>
        <w:pStyle w:val="ListParagraph"/>
        <w:numPr>
          <w:ilvl w:val="0"/>
          <w:numId w:val="3"/>
        </w:numPr>
        <w:ind w:left="993" w:hanging="284"/>
        <w:contextualSpacing w:val="0"/>
      </w:pPr>
      <w:r w:rsidRPr="0074364D">
        <w:t>Liabilities are discounted to their value at current pric</w:t>
      </w:r>
      <w:r w:rsidR="00801FC4">
        <w:t>es, using a discount rate of 2.</w:t>
      </w:r>
      <w:r w:rsidR="006567F9">
        <w:t>0</w:t>
      </w:r>
      <w:r w:rsidRPr="0074364D">
        <w:t xml:space="preserve">% (based on the indicative rate of return on high quality AA index corporate </w:t>
      </w:r>
      <w:proofErr w:type="gramStart"/>
      <w:r w:rsidRPr="0074364D">
        <w:t>bonds;</w:t>
      </w:r>
      <w:proofErr w:type="gramEnd"/>
    </w:p>
    <w:p w14:paraId="48835F8C" w14:textId="77777777" w:rsidR="0074364D" w:rsidRPr="0074364D" w:rsidRDefault="0074364D" w:rsidP="007E1A23">
      <w:pPr>
        <w:pStyle w:val="ListParagraph"/>
        <w:numPr>
          <w:ilvl w:val="0"/>
          <w:numId w:val="3"/>
        </w:numPr>
        <w:ind w:left="993" w:hanging="284"/>
        <w:contextualSpacing w:val="0"/>
      </w:pPr>
      <w:r w:rsidRPr="0074364D">
        <w:t>The assets of Lincolnshire pension fund attributable to the Chief Constable are included in the Balance Sheet at their fair value:</w:t>
      </w:r>
    </w:p>
    <w:p w14:paraId="72F5633C" w14:textId="77777777" w:rsidR="0074364D" w:rsidRPr="0074364D" w:rsidRDefault="0074364D" w:rsidP="00540C64">
      <w:pPr>
        <w:pStyle w:val="ListParagraph"/>
        <w:numPr>
          <w:ilvl w:val="0"/>
          <w:numId w:val="2"/>
        </w:numPr>
        <w:ind w:left="1418" w:hanging="284"/>
        <w:contextualSpacing w:val="0"/>
      </w:pPr>
      <w:r w:rsidRPr="0074364D">
        <w:t xml:space="preserve">Quoted securities – current bid </w:t>
      </w:r>
      <w:proofErr w:type="gramStart"/>
      <w:r w:rsidRPr="0074364D">
        <w:t>price;</w:t>
      </w:r>
      <w:proofErr w:type="gramEnd"/>
    </w:p>
    <w:p w14:paraId="4AECEBC8" w14:textId="77777777" w:rsidR="0074364D" w:rsidRPr="0074364D" w:rsidRDefault="0074364D" w:rsidP="00540C64">
      <w:pPr>
        <w:pStyle w:val="ListParagraph"/>
        <w:numPr>
          <w:ilvl w:val="0"/>
          <w:numId w:val="2"/>
        </w:numPr>
        <w:ind w:left="1418" w:hanging="284"/>
        <w:contextualSpacing w:val="0"/>
      </w:pPr>
      <w:r w:rsidRPr="0074364D">
        <w:t xml:space="preserve">Unquoted securities – professional </w:t>
      </w:r>
      <w:proofErr w:type="gramStart"/>
      <w:r w:rsidRPr="0074364D">
        <w:t>estimate;</w:t>
      </w:r>
      <w:proofErr w:type="gramEnd"/>
      <w:r w:rsidRPr="0074364D">
        <w:t xml:space="preserve"> </w:t>
      </w:r>
    </w:p>
    <w:p w14:paraId="7E1E4293" w14:textId="77777777" w:rsidR="0074364D" w:rsidRPr="0074364D" w:rsidRDefault="0074364D" w:rsidP="00540C64">
      <w:pPr>
        <w:pStyle w:val="ListParagraph"/>
        <w:numPr>
          <w:ilvl w:val="0"/>
          <w:numId w:val="2"/>
        </w:numPr>
        <w:ind w:left="1418" w:hanging="284"/>
        <w:contextualSpacing w:val="0"/>
      </w:pPr>
      <w:r w:rsidRPr="0074364D">
        <w:t xml:space="preserve">Unitised securities – current bid </w:t>
      </w:r>
      <w:proofErr w:type="gramStart"/>
      <w:r w:rsidRPr="0074364D">
        <w:t>price;</w:t>
      </w:r>
      <w:proofErr w:type="gramEnd"/>
    </w:p>
    <w:p w14:paraId="69ED0952" w14:textId="77777777" w:rsidR="0074364D" w:rsidRPr="0074364D" w:rsidRDefault="0074364D" w:rsidP="00540C64">
      <w:pPr>
        <w:pStyle w:val="ListParagraph"/>
        <w:numPr>
          <w:ilvl w:val="0"/>
          <w:numId w:val="2"/>
        </w:numPr>
        <w:ind w:left="1418" w:hanging="284"/>
        <w:contextualSpacing w:val="0"/>
      </w:pPr>
      <w:r w:rsidRPr="0074364D">
        <w:t xml:space="preserve"> Property – market value.</w:t>
      </w:r>
    </w:p>
    <w:p w14:paraId="458B7BCF" w14:textId="77777777" w:rsidR="0074364D" w:rsidRPr="0074364D" w:rsidRDefault="0074364D" w:rsidP="007E1A23">
      <w:pPr>
        <w:pStyle w:val="Heading2"/>
        <w:numPr>
          <w:ilvl w:val="2"/>
          <w:numId w:val="4"/>
        </w:numPr>
        <w:ind w:left="993" w:hanging="426"/>
      </w:pPr>
      <w:bookmarkStart w:id="187" w:name="_Toc42205046"/>
      <w:bookmarkStart w:id="188" w:name="_Toc42271398"/>
      <w:bookmarkStart w:id="189" w:name="_Toc42272164"/>
      <w:bookmarkStart w:id="190" w:name="_Toc72330190"/>
      <w:bookmarkStart w:id="191" w:name="_Toc72334844"/>
      <w:bookmarkStart w:id="192" w:name="_Toc144279287"/>
      <w:r w:rsidRPr="0074364D">
        <w:t>Police Officer Pension Scheme</w:t>
      </w:r>
      <w:bookmarkEnd w:id="187"/>
      <w:bookmarkEnd w:id="188"/>
      <w:bookmarkEnd w:id="189"/>
      <w:bookmarkEnd w:id="190"/>
      <w:bookmarkEnd w:id="191"/>
      <w:bookmarkEnd w:id="192"/>
    </w:p>
    <w:p w14:paraId="1319990E" w14:textId="77777777" w:rsidR="0074364D" w:rsidRPr="0074364D" w:rsidRDefault="0074364D" w:rsidP="00540C64">
      <w:pPr>
        <w:ind w:left="567"/>
      </w:pPr>
      <w:r w:rsidRPr="0074364D">
        <w:t>The police officer pension schemes (both the old and new schemes) are accounted for as a defined benefit scheme:</w:t>
      </w:r>
    </w:p>
    <w:p w14:paraId="5811744B" w14:textId="77777777" w:rsidR="0074364D" w:rsidRPr="0074364D" w:rsidRDefault="0074364D" w:rsidP="007E1A23">
      <w:pPr>
        <w:pStyle w:val="ListParagraph"/>
        <w:numPr>
          <w:ilvl w:val="0"/>
          <w:numId w:val="3"/>
        </w:numPr>
        <w:ind w:left="993" w:hanging="284"/>
        <w:contextualSpacing w:val="0"/>
      </w:pPr>
      <w:r w:rsidRPr="0074364D">
        <w:t xml:space="preserve">The liabilities of the Lincolnshire pension fund attributable to the Chief Constable are included in the Balance Sheet on an actuarial basis using the projected unit method, </w:t>
      </w:r>
      <w:proofErr w:type="gramStart"/>
      <w:r w:rsidRPr="0074364D">
        <w:t>i.e.</w:t>
      </w:r>
      <w:proofErr w:type="gramEnd"/>
      <w:r w:rsidRPr="0074364D">
        <w:t xml:space="preserve"> an assessment of the future payments that will be made in relation to retirement benefits earned to date by employees, based on assumptions about mortality rates, employee turnover rates, etc. and projections of projected earnings for current employees;</w:t>
      </w:r>
    </w:p>
    <w:p w14:paraId="30A742A7" w14:textId="3085E21A" w:rsidR="0074364D" w:rsidRPr="0074364D" w:rsidRDefault="0074364D" w:rsidP="007E1A23">
      <w:pPr>
        <w:pStyle w:val="ListParagraph"/>
        <w:numPr>
          <w:ilvl w:val="0"/>
          <w:numId w:val="3"/>
        </w:numPr>
        <w:ind w:left="993" w:hanging="284"/>
        <w:contextualSpacing w:val="0"/>
      </w:pPr>
      <w:r w:rsidRPr="0074364D">
        <w:lastRenderedPageBreak/>
        <w:t>Liabilities are discounted to their value at current pric</w:t>
      </w:r>
      <w:r w:rsidR="00801FC4">
        <w:t xml:space="preserve">es, using a discount rate of </w:t>
      </w:r>
      <w:r w:rsidR="005065AA" w:rsidRPr="005065AA">
        <w:t>2.0</w:t>
      </w:r>
      <w:r w:rsidRPr="005065AA">
        <w:t>%</w:t>
      </w:r>
      <w:r w:rsidRPr="0074364D">
        <w:t xml:space="preserve"> (based on the indicative rate of return on high quality AA index corporate bonds).</w:t>
      </w:r>
    </w:p>
    <w:p w14:paraId="1BB4DF9B" w14:textId="77777777" w:rsidR="0074364D" w:rsidRPr="0074364D" w:rsidRDefault="0074364D" w:rsidP="007E1A23">
      <w:pPr>
        <w:pStyle w:val="Heading2"/>
        <w:numPr>
          <w:ilvl w:val="2"/>
          <w:numId w:val="4"/>
        </w:numPr>
        <w:ind w:left="993" w:hanging="426"/>
      </w:pPr>
      <w:bookmarkStart w:id="193" w:name="_Toc42205047"/>
      <w:bookmarkStart w:id="194" w:name="_Toc42271399"/>
      <w:bookmarkStart w:id="195" w:name="_Toc42272165"/>
      <w:bookmarkStart w:id="196" w:name="_Toc72330191"/>
      <w:bookmarkStart w:id="197" w:name="_Toc72334845"/>
      <w:bookmarkStart w:id="198" w:name="_Toc144279288"/>
      <w:r w:rsidRPr="0074364D">
        <w:t>Pension Scheme Policies</w:t>
      </w:r>
      <w:bookmarkEnd w:id="193"/>
      <w:bookmarkEnd w:id="194"/>
      <w:bookmarkEnd w:id="195"/>
      <w:bookmarkEnd w:id="196"/>
      <w:bookmarkEnd w:id="197"/>
      <w:bookmarkEnd w:id="198"/>
    </w:p>
    <w:p w14:paraId="04F2F61C" w14:textId="77777777" w:rsidR="0074364D" w:rsidRPr="0074364D" w:rsidRDefault="0074364D" w:rsidP="00540C64">
      <w:pPr>
        <w:ind w:left="567"/>
      </w:pPr>
      <w:r w:rsidRPr="0074364D">
        <w:t xml:space="preserve">The change in the net pensions liability is analysed into the following components: </w:t>
      </w:r>
    </w:p>
    <w:p w14:paraId="77D83782" w14:textId="77777777" w:rsidR="0074364D" w:rsidRPr="0074364D" w:rsidRDefault="0074364D" w:rsidP="007E1A23">
      <w:pPr>
        <w:pStyle w:val="ListParagraph"/>
        <w:numPr>
          <w:ilvl w:val="0"/>
          <w:numId w:val="3"/>
        </w:numPr>
        <w:ind w:left="993" w:hanging="284"/>
        <w:contextualSpacing w:val="0"/>
      </w:pPr>
      <w:r w:rsidRPr="0074364D">
        <w:t>Service cost comprising:</w:t>
      </w:r>
    </w:p>
    <w:p w14:paraId="3CD65DEE" w14:textId="77777777" w:rsidR="0074364D" w:rsidRPr="0074364D" w:rsidRDefault="0074364D" w:rsidP="00540C64">
      <w:pPr>
        <w:pStyle w:val="ListParagraph"/>
        <w:numPr>
          <w:ilvl w:val="0"/>
          <w:numId w:val="2"/>
        </w:numPr>
        <w:ind w:left="1418" w:hanging="284"/>
        <w:contextualSpacing w:val="0"/>
      </w:pPr>
      <w:r w:rsidRPr="0074364D">
        <w:t xml:space="preserve">Current service cost (the increase in liabilities as a result of years of service earned this year) allocated in the Comprehensive Income and Expenditure Statement to the services for which the employees </w:t>
      </w:r>
      <w:proofErr w:type="gramStart"/>
      <w:r w:rsidRPr="0074364D">
        <w:t>worked;</w:t>
      </w:r>
      <w:proofErr w:type="gramEnd"/>
    </w:p>
    <w:p w14:paraId="06DE35ED" w14:textId="77777777" w:rsidR="0074364D" w:rsidRPr="0074364D" w:rsidRDefault="0074364D" w:rsidP="00540C64">
      <w:pPr>
        <w:pStyle w:val="ListParagraph"/>
        <w:numPr>
          <w:ilvl w:val="0"/>
          <w:numId w:val="2"/>
        </w:numPr>
        <w:ind w:left="1418" w:hanging="284"/>
        <w:contextualSpacing w:val="0"/>
      </w:pPr>
      <w:r w:rsidRPr="0074364D">
        <w:t xml:space="preserve">Past service cost (the increase in liabilities as a result of a scheme amendment or curtailment whose effect relates to years of service earned in earlier years) debited to the Surplus or Deficit on the Provision of Services in the Comprehensive Income and Expenditure Statement to a corporate service </w:t>
      </w:r>
      <w:proofErr w:type="gramStart"/>
      <w:r w:rsidRPr="0074364D">
        <w:t>segment;</w:t>
      </w:r>
      <w:proofErr w:type="gramEnd"/>
    </w:p>
    <w:p w14:paraId="15C77CFF" w14:textId="77777777" w:rsidR="0074364D" w:rsidRPr="0074364D" w:rsidRDefault="0074364D" w:rsidP="00540C64">
      <w:pPr>
        <w:pStyle w:val="ListParagraph"/>
        <w:numPr>
          <w:ilvl w:val="0"/>
          <w:numId w:val="2"/>
        </w:numPr>
        <w:ind w:left="1418" w:hanging="284"/>
        <w:contextualSpacing w:val="0"/>
      </w:pPr>
      <w:r w:rsidRPr="0074364D">
        <w:t>Net interest on the net defined benefit liability (asset), i.e. net interest expense for the Chief Constable (the change during the period in the net defined benefit liability (asset) that arises from the passage of time charged to the Financing and Investment Income and Expenditure line of the Comprehensive Income and Expenditure Statement) this is calculated by applying the discount rate used to measure the defined benefit obligation at the beginning of the period to the net defined benefit liability (asset) at the beginning of the period (taking into account any changes in the net defined benefit liability (asset) during the period as a result of contribution and benefit payments).</w:t>
      </w:r>
    </w:p>
    <w:p w14:paraId="21130972" w14:textId="77777777" w:rsidR="0074364D" w:rsidRPr="0074364D" w:rsidRDefault="0074364D" w:rsidP="007E1A23">
      <w:pPr>
        <w:pStyle w:val="ListParagraph"/>
        <w:numPr>
          <w:ilvl w:val="0"/>
          <w:numId w:val="3"/>
        </w:numPr>
        <w:ind w:left="993" w:hanging="284"/>
        <w:contextualSpacing w:val="0"/>
      </w:pPr>
      <w:r w:rsidRPr="0074364D">
        <w:t>Remeasurements comprising:</w:t>
      </w:r>
    </w:p>
    <w:p w14:paraId="725E26D7" w14:textId="77777777" w:rsidR="0074364D" w:rsidRPr="0074364D" w:rsidRDefault="0074364D" w:rsidP="00540C64">
      <w:pPr>
        <w:pStyle w:val="ListParagraph"/>
        <w:numPr>
          <w:ilvl w:val="0"/>
          <w:numId w:val="2"/>
        </w:numPr>
        <w:ind w:left="1418" w:hanging="284"/>
        <w:contextualSpacing w:val="0"/>
      </w:pPr>
      <w:r w:rsidRPr="0074364D">
        <w:t xml:space="preserve">The return on plan assets (excluding amounts included in net interest on the net defined benefit liability (asset)) charged to the Pensions Reserve as Other Comprehensive Income and </w:t>
      </w:r>
      <w:proofErr w:type="gramStart"/>
      <w:r w:rsidRPr="0074364D">
        <w:t>Expenditure;</w:t>
      </w:r>
      <w:proofErr w:type="gramEnd"/>
    </w:p>
    <w:p w14:paraId="2104EA70" w14:textId="77777777" w:rsidR="0074364D" w:rsidRPr="0074364D" w:rsidRDefault="0074364D" w:rsidP="00540C64">
      <w:pPr>
        <w:pStyle w:val="ListParagraph"/>
        <w:numPr>
          <w:ilvl w:val="0"/>
          <w:numId w:val="2"/>
        </w:numPr>
        <w:ind w:left="1418" w:hanging="284"/>
        <w:contextualSpacing w:val="0"/>
      </w:pPr>
      <w:r w:rsidRPr="0074364D">
        <w:t xml:space="preserve">Actuarial gains and losses (changes in the net pensions liability that arise because events have not coincided with assumptions made at the last actuarial valuation or because the actuaries have updated their assumptions) charged to the Pensions Reserve as Other Comprehensive Income and </w:t>
      </w:r>
      <w:proofErr w:type="gramStart"/>
      <w:r w:rsidRPr="0074364D">
        <w:t>Expenditure;</w:t>
      </w:r>
      <w:proofErr w:type="gramEnd"/>
    </w:p>
    <w:p w14:paraId="54A2868E" w14:textId="77777777" w:rsidR="0074364D" w:rsidRPr="0074364D" w:rsidRDefault="0074364D" w:rsidP="00540C64">
      <w:pPr>
        <w:pStyle w:val="ListParagraph"/>
        <w:numPr>
          <w:ilvl w:val="0"/>
          <w:numId w:val="2"/>
        </w:numPr>
        <w:ind w:left="1418" w:hanging="284"/>
        <w:contextualSpacing w:val="0"/>
      </w:pPr>
      <w:r w:rsidRPr="0074364D">
        <w:t>Contributions paid to the Lincolnshire pension fund (cash paid as employer’s contributions to the pension fund in settlement of liabilities) not accounted for as an expense.</w:t>
      </w:r>
    </w:p>
    <w:p w14:paraId="7A10D471" w14:textId="77777777" w:rsidR="0074364D" w:rsidRPr="0074364D" w:rsidRDefault="0074364D" w:rsidP="00540C64">
      <w:pPr>
        <w:ind w:left="567"/>
      </w:pPr>
      <w:r w:rsidRPr="0074364D">
        <w:t xml:space="preserve">In relation to retirement benefits, statutory provisions require the General Fund Balance to be charged with the amount payable by the Chief Constable to the pension fund or directly to pensioners in the year, not the amount calculated according to the relevant accounting standards.  In the Movement in Reserves Statement, this means that there are transfers to and from the </w:t>
      </w:r>
      <w:proofErr w:type="gramStart"/>
      <w:r w:rsidRPr="0074364D">
        <w:t>Pensions  Reserve</w:t>
      </w:r>
      <w:proofErr w:type="gramEnd"/>
      <w:r w:rsidRPr="0074364D">
        <w:t xml:space="preserve"> to remove the notional debits and credits for retirement benefits and replace them with debits for the cash paid to the pension fund and pensioners and any such amounts payable but unpaid at the year-end.  The negative balance that arises on the Pensions Reserve thereby measures the beneficial impact to the General Fund of being required to account for retirement benefits </w:t>
      </w:r>
      <w:proofErr w:type="gramStart"/>
      <w:r w:rsidRPr="0074364D">
        <w:t>on the basis of</w:t>
      </w:r>
      <w:proofErr w:type="gramEnd"/>
      <w:r w:rsidRPr="0074364D">
        <w:t xml:space="preserve"> cash flows rather than when benefits are earned by employees.</w:t>
      </w:r>
    </w:p>
    <w:p w14:paraId="72B2F19A" w14:textId="77777777" w:rsidR="0074364D" w:rsidRPr="0074364D" w:rsidRDefault="0074364D" w:rsidP="007E1A23">
      <w:pPr>
        <w:pStyle w:val="Heading2"/>
        <w:numPr>
          <w:ilvl w:val="2"/>
          <w:numId w:val="4"/>
        </w:numPr>
        <w:ind w:left="993" w:hanging="426"/>
      </w:pPr>
      <w:bookmarkStart w:id="199" w:name="_Toc42205048"/>
      <w:bookmarkStart w:id="200" w:name="_Toc42271400"/>
      <w:bookmarkStart w:id="201" w:name="_Toc42272166"/>
      <w:bookmarkStart w:id="202" w:name="_Toc72330192"/>
      <w:bookmarkStart w:id="203" w:name="_Toc72334846"/>
      <w:bookmarkStart w:id="204" w:name="_Toc144279289"/>
      <w:r w:rsidRPr="0074364D">
        <w:lastRenderedPageBreak/>
        <w:t>Discretionary Benefits</w:t>
      </w:r>
      <w:bookmarkEnd w:id="199"/>
      <w:bookmarkEnd w:id="200"/>
      <w:bookmarkEnd w:id="201"/>
      <w:bookmarkEnd w:id="202"/>
      <w:bookmarkEnd w:id="203"/>
      <w:bookmarkEnd w:id="204"/>
    </w:p>
    <w:p w14:paraId="55EB9934" w14:textId="77777777" w:rsidR="0074364D" w:rsidRPr="0074364D" w:rsidRDefault="0074364D" w:rsidP="00540C64">
      <w:pPr>
        <w:ind w:left="567"/>
      </w:pPr>
      <w:r w:rsidRPr="0074364D">
        <w:t xml:space="preserve">The Chief Constable also has restricted powers to make discretionary awards of retirement benefits in the event of early retirements.  Any liabilities estimated to arise </w:t>
      </w:r>
      <w:proofErr w:type="gramStart"/>
      <w:r w:rsidRPr="0074364D">
        <w:t>as a result of</w:t>
      </w:r>
      <w:proofErr w:type="gramEnd"/>
      <w:r w:rsidRPr="0074364D">
        <w:t xml:space="preserve"> an award to any member of staff are accrued in the year of the decision to make the award and accounted for using the same policies as are applied to the Local Government Pension Scheme.</w:t>
      </w:r>
    </w:p>
    <w:p w14:paraId="4A614E42" w14:textId="77777777" w:rsidR="0074364D" w:rsidRPr="00806A0D" w:rsidRDefault="0074364D" w:rsidP="007E1A23">
      <w:pPr>
        <w:pStyle w:val="Heading2"/>
        <w:numPr>
          <w:ilvl w:val="1"/>
          <w:numId w:val="4"/>
        </w:numPr>
        <w:ind w:left="851" w:hanging="567"/>
        <w:rPr>
          <w:color w:val="auto"/>
        </w:rPr>
      </w:pPr>
      <w:bookmarkStart w:id="205" w:name="_Toc42205049"/>
      <w:bookmarkStart w:id="206" w:name="_Toc42271401"/>
      <w:bookmarkStart w:id="207" w:name="_Toc42272167"/>
      <w:bookmarkStart w:id="208" w:name="_Toc72330193"/>
      <w:bookmarkStart w:id="209" w:name="_Toc72334847"/>
      <w:bookmarkStart w:id="210" w:name="_Toc144279290"/>
      <w:r w:rsidRPr="0074364D">
        <w:t>Police Officer Pensions – Home Office Memorandum Account</w:t>
      </w:r>
      <w:bookmarkEnd w:id="205"/>
      <w:bookmarkEnd w:id="206"/>
      <w:bookmarkEnd w:id="207"/>
      <w:bookmarkEnd w:id="208"/>
      <w:bookmarkEnd w:id="209"/>
      <w:bookmarkEnd w:id="210"/>
    </w:p>
    <w:p w14:paraId="1204292C" w14:textId="77777777" w:rsidR="0074364D" w:rsidRPr="0074364D" w:rsidRDefault="0074364D" w:rsidP="00F02B2B">
      <w:pPr>
        <w:ind w:left="284"/>
      </w:pPr>
      <w:r w:rsidRPr="0074364D">
        <w:t>From 1 April 2006 the Home Office changed the methods of financing police pensions.  Effectively the Chief Constable has continued to make payments but accounts for these outside of these accounts in a separate memorandum account, which is reported in a supplementary statement in these accounts.</w:t>
      </w:r>
    </w:p>
    <w:p w14:paraId="44AC45BD" w14:textId="77777777" w:rsidR="0074364D" w:rsidRPr="0074364D" w:rsidRDefault="0074364D" w:rsidP="007E1A23">
      <w:pPr>
        <w:pStyle w:val="Heading2"/>
        <w:numPr>
          <w:ilvl w:val="1"/>
          <w:numId w:val="4"/>
        </w:numPr>
        <w:ind w:left="851" w:hanging="567"/>
      </w:pPr>
      <w:bookmarkStart w:id="211" w:name="_Toc42205050"/>
      <w:bookmarkStart w:id="212" w:name="_Toc42271402"/>
      <w:bookmarkStart w:id="213" w:name="_Toc42272168"/>
      <w:bookmarkStart w:id="214" w:name="_Toc72330194"/>
      <w:bookmarkStart w:id="215" w:name="_Toc72334848"/>
      <w:bookmarkStart w:id="216" w:name="_Toc144279291"/>
      <w:r w:rsidRPr="0074364D">
        <w:t>Joint Operations</w:t>
      </w:r>
      <w:bookmarkEnd w:id="211"/>
      <w:bookmarkEnd w:id="212"/>
      <w:bookmarkEnd w:id="213"/>
      <w:bookmarkEnd w:id="214"/>
      <w:bookmarkEnd w:id="215"/>
      <w:bookmarkEnd w:id="216"/>
    </w:p>
    <w:p w14:paraId="1FFC4BD0" w14:textId="77777777" w:rsidR="00665AA2" w:rsidRPr="00665AA2" w:rsidRDefault="0074364D" w:rsidP="00F02B2B">
      <w:pPr>
        <w:ind w:left="284"/>
      </w:pPr>
      <w:r w:rsidRPr="0074364D">
        <w:t>Joint operations are joint arrangements in which the PCC and other venturers have joint control of the arrangement.  The parties that have joint control of the arrangement have rights to the assets, and obligations for the liabilities, relating to the arrangement.  The Chief Constable accounts for only its expenses that it incurs on its own behalf or jointly with others in respect of its interest in the joint operation and income that it earns from the venture.</w:t>
      </w:r>
    </w:p>
    <w:p w14:paraId="2CF53079" w14:textId="77777777" w:rsidR="00F02B2B" w:rsidRPr="00F02B2B" w:rsidRDefault="00F02B2B" w:rsidP="007E1A23">
      <w:pPr>
        <w:pStyle w:val="Heading2"/>
        <w:numPr>
          <w:ilvl w:val="0"/>
          <w:numId w:val="4"/>
        </w:numPr>
        <w:ind w:left="284" w:hanging="284"/>
        <w:rPr>
          <w:rFonts w:eastAsia="Times New Roman" w:cs="Arial"/>
          <w:lang w:eastAsia="en-GB"/>
        </w:rPr>
      </w:pPr>
      <w:bookmarkStart w:id="217" w:name="_Toc426961022"/>
      <w:bookmarkStart w:id="218" w:name="_Toc30600329"/>
      <w:bookmarkStart w:id="219" w:name="_Toc42205051"/>
      <w:bookmarkStart w:id="220" w:name="_Toc42271403"/>
      <w:bookmarkStart w:id="221" w:name="_Toc144279292"/>
      <w:bookmarkStart w:id="222" w:name="JdgtsAplyAcctPol2"/>
      <w:r w:rsidRPr="00F02B2B">
        <w:rPr>
          <w:rFonts w:eastAsia="Times New Roman" w:cs="Arial"/>
          <w:lang w:eastAsia="en-GB"/>
        </w:rPr>
        <w:t>Judgements in applying Accounting Policies</w:t>
      </w:r>
      <w:bookmarkEnd w:id="217"/>
      <w:bookmarkEnd w:id="218"/>
      <w:bookmarkEnd w:id="219"/>
      <w:bookmarkEnd w:id="220"/>
      <w:bookmarkEnd w:id="221"/>
    </w:p>
    <w:bookmarkEnd w:id="222"/>
    <w:p w14:paraId="5551577D" w14:textId="77777777" w:rsidR="00F02B2B" w:rsidRPr="00F02B2B" w:rsidRDefault="00F02B2B" w:rsidP="00F02B2B">
      <w:pPr>
        <w:tabs>
          <w:tab w:val="left" w:pos="0"/>
        </w:tabs>
        <w:ind w:left="0"/>
        <w:rPr>
          <w:rFonts w:eastAsia="Times New Roman" w:cs="Times New Roman"/>
          <w:szCs w:val="23"/>
          <w:lang w:eastAsia="en-GB"/>
        </w:rPr>
      </w:pPr>
      <w:r w:rsidRPr="00F02B2B">
        <w:rPr>
          <w:rFonts w:eastAsia="Times New Roman" w:cs="Times New Roman"/>
          <w:szCs w:val="24"/>
          <w:lang w:eastAsia="en-GB"/>
        </w:rPr>
        <w:t>In applying the accounting policies set out in Note 1, the Chief Constable has had to make certain judgements about complex transactions or those involving uncertainty about future events.  The significant judgements made in the Statement of Accounts are</w:t>
      </w:r>
      <w:r w:rsidRPr="00F02B2B">
        <w:rPr>
          <w:rFonts w:eastAsia="Times New Roman" w:cs="Times New Roman"/>
          <w:szCs w:val="23"/>
          <w:lang w:eastAsia="en-GB"/>
        </w:rPr>
        <w:t>:</w:t>
      </w:r>
    </w:p>
    <w:p w14:paraId="2C9645D4" w14:textId="77777777" w:rsidR="00543490" w:rsidRDefault="00F02B2B" w:rsidP="007E1A23">
      <w:pPr>
        <w:pStyle w:val="ListParagraph"/>
        <w:numPr>
          <w:ilvl w:val="0"/>
          <w:numId w:val="3"/>
        </w:numPr>
        <w:ind w:left="426" w:hanging="284"/>
        <w:contextualSpacing w:val="0"/>
      </w:pPr>
      <w:r w:rsidRPr="00F02B2B">
        <w:t xml:space="preserve">For retirement benefits, the interpretation of CIPFA guidance differs from that of the Code itself.  CIPFA guidance expects plan assets to be included in the financial statements; </w:t>
      </w:r>
      <w:proofErr w:type="gramStart"/>
      <w:r w:rsidRPr="00F02B2B">
        <w:t>however</w:t>
      </w:r>
      <w:proofErr w:type="gramEnd"/>
      <w:r w:rsidRPr="00F02B2B">
        <w:t xml:space="preserve"> the Code says not to include them.  The impact of this on the General Reserve is reversed through the Movement in Reserves Statement, with a corresponding entry in the Pensions Reserve.  The Chief Constable and the Chief Finance Officer have concluded that this approach presents a true and fair view of the Chief Constable’s financial position, financial performance and cash </w:t>
      </w:r>
      <w:proofErr w:type="gramStart"/>
      <w:r w:rsidRPr="00F02B2B">
        <w:t>flow;</w:t>
      </w:r>
      <w:proofErr w:type="gramEnd"/>
      <w:r w:rsidRPr="00F02B2B">
        <w:t xml:space="preserve"> </w:t>
      </w:r>
    </w:p>
    <w:p w14:paraId="1C01B3AE" w14:textId="77777777" w:rsidR="00BC385F" w:rsidRDefault="00F02B2B" w:rsidP="007E1A23">
      <w:pPr>
        <w:pStyle w:val="ListParagraph"/>
        <w:numPr>
          <w:ilvl w:val="0"/>
          <w:numId w:val="3"/>
        </w:numPr>
        <w:ind w:left="426" w:hanging="284"/>
        <w:contextualSpacing w:val="0"/>
      </w:pPr>
      <w:r w:rsidRPr="00F02B2B">
        <w:t xml:space="preserve">G4S joined Lincolnshire Pension Fund as a new Transferee Admission Body on 1 April 2012 on a “pass through” arrangement for a contract term of 10 years.  Lincolnshire Police </w:t>
      </w:r>
      <w:proofErr w:type="gramStart"/>
      <w:r w:rsidRPr="00F02B2B">
        <w:t>are considered to be</w:t>
      </w:r>
      <w:proofErr w:type="gramEnd"/>
      <w:r w:rsidRPr="00F02B2B">
        <w:t xml:space="preserve"> the principal rather than merely an agent in these transactions as they retain responsibility for the liabilities.  Hence, the I</w:t>
      </w:r>
      <w:r w:rsidR="00DF2E89">
        <w:t xml:space="preserve">AS19 results as </w:t>
      </w:r>
      <w:proofErr w:type="gramStart"/>
      <w:r w:rsidR="00DF2E89">
        <w:t>at</w:t>
      </w:r>
      <w:proofErr w:type="gramEnd"/>
      <w:r w:rsidR="00DF2E89">
        <w:t xml:space="preserve"> 31 March 2021</w:t>
      </w:r>
      <w:r w:rsidRPr="00F02B2B">
        <w:t xml:space="preserve"> reflect the combined G4S and Lincolnshire Police pension fund assets and liabilities.</w:t>
      </w:r>
    </w:p>
    <w:p w14:paraId="0856CFA3" w14:textId="7D70A303" w:rsidR="00AA11C4" w:rsidRDefault="00AA11C4" w:rsidP="00E0573D">
      <w:pPr>
        <w:pStyle w:val="ListParagraph"/>
        <w:numPr>
          <w:ilvl w:val="0"/>
          <w:numId w:val="3"/>
        </w:numPr>
        <w:ind w:left="426" w:hanging="284"/>
        <w:contextualSpacing w:val="0"/>
      </w:pPr>
      <w:r>
        <w:t>The split of the G4S pension liability within the Local Government Pensions Scheme</w:t>
      </w:r>
      <w:r w:rsidR="00D014BB">
        <w:t> is</w:t>
      </w:r>
      <w:r>
        <w:t xml:space="preserve"> allocated between the PCC and the Chief Constable in line with the Strategic Partnership arrangement. The current percentage entity split is 30.5% PCC and 69.5% Chief Constable.</w:t>
      </w:r>
    </w:p>
    <w:p w14:paraId="05686740" w14:textId="77777777" w:rsidR="00F02B2B" w:rsidRPr="00275B6E" w:rsidRDefault="00F02B2B" w:rsidP="007E1A23">
      <w:pPr>
        <w:pStyle w:val="Heading2"/>
        <w:numPr>
          <w:ilvl w:val="0"/>
          <w:numId w:val="4"/>
        </w:numPr>
        <w:ind w:left="284" w:hanging="284"/>
      </w:pPr>
      <w:bookmarkStart w:id="223" w:name="_Toc426961023"/>
      <w:bookmarkStart w:id="224" w:name="_Toc30600330"/>
      <w:bookmarkStart w:id="225" w:name="_Toc42205052"/>
      <w:bookmarkStart w:id="226" w:name="_Toc42271404"/>
      <w:bookmarkStart w:id="227" w:name="_Toc144279293"/>
      <w:bookmarkStart w:id="228" w:name="AsmpAbtFtrEstUncty3"/>
      <w:r w:rsidRPr="00275B6E">
        <w:t>Assumptions made about the future and other major sources of Estimation Uncertainty</w:t>
      </w:r>
      <w:bookmarkEnd w:id="223"/>
      <w:bookmarkEnd w:id="224"/>
      <w:bookmarkEnd w:id="225"/>
      <w:bookmarkEnd w:id="226"/>
      <w:bookmarkEnd w:id="227"/>
    </w:p>
    <w:bookmarkEnd w:id="228"/>
    <w:p w14:paraId="114DBD39" w14:textId="77777777" w:rsidR="00F02B2B" w:rsidRPr="00F02B2B" w:rsidRDefault="00F02B2B" w:rsidP="00F02B2B">
      <w:pPr>
        <w:ind w:left="284"/>
        <w:rPr>
          <w:lang w:val="en-US"/>
        </w:rPr>
      </w:pPr>
      <w:r w:rsidRPr="00F02B2B">
        <w:rPr>
          <w:lang w:val="en-US"/>
        </w:rPr>
        <w:t xml:space="preserve">The Statement of Accounts contains estimated figures that are based on assumptions made by the entity about the future or that are otherwise uncertain.  Estimates are made </w:t>
      </w:r>
      <w:proofErr w:type="gramStart"/>
      <w:r w:rsidRPr="00F02B2B">
        <w:rPr>
          <w:lang w:val="en-US"/>
        </w:rPr>
        <w:t>taking into account</w:t>
      </w:r>
      <w:proofErr w:type="gramEnd"/>
      <w:r w:rsidRPr="00F02B2B">
        <w:rPr>
          <w:lang w:val="en-US"/>
        </w:rPr>
        <w:t xml:space="preserve"> historical experience, current trends and other relevant factors.  However, because balances cannot be determined with certainty, actual results could be materially different from the assumptions and estimates.</w:t>
      </w:r>
    </w:p>
    <w:p w14:paraId="2F38CD0B" w14:textId="6F479E06" w:rsidR="0088012A" w:rsidRDefault="00F02B2B" w:rsidP="00754431">
      <w:pPr>
        <w:ind w:left="284"/>
      </w:pPr>
      <w:r w:rsidRPr="00275B6E">
        <w:lastRenderedPageBreak/>
        <w:t xml:space="preserve">The items in the Chief Constable’s Balance Sheet </w:t>
      </w:r>
      <w:proofErr w:type="gramStart"/>
      <w:r w:rsidRPr="00275B6E">
        <w:t>at</w:t>
      </w:r>
      <w:proofErr w:type="gramEnd"/>
      <w:r w:rsidRPr="00275B6E">
        <w:t xml:space="preserve"> 31 March 20</w:t>
      </w:r>
      <w:r w:rsidR="007D52B8">
        <w:t>2</w:t>
      </w:r>
      <w:r w:rsidR="00DF2E89">
        <w:t>1</w:t>
      </w:r>
      <w:r w:rsidRPr="00275B6E">
        <w:t xml:space="preserve"> for which there is a significant risk of material adjustment in the forthcoming financial year are described below.  The main area of fluctuation is the assessment of pensions’ assets and liabilities.  Hence, these are considered separately.</w:t>
      </w:r>
      <w:bookmarkStart w:id="229" w:name="_Toc8305867"/>
    </w:p>
    <w:p w14:paraId="1649EAFB" w14:textId="77777777" w:rsidR="00F02B2B" w:rsidRPr="00275B6E" w:rsidRDefault="00F02B2B" w:rsidP="007E1A23">
      <w:pPr>
        <w:pStyle w:val="Heading2"/>
        <w:numPr>
          <w:ilvl w:val="1"/>
          <w:numId w:val="4"/>
        </w:numPr>
        <w:ind w:left="709"/>
      </w:pPr>
      <w:bookmarkStart w:id="230" w:name="_Toc42205053"/>
      <w:bookmarkStart w:id="231" w:name="_Toc42271405"/>
      <w:bookmarkStart w:id="232" w:name="_Toc42272171"/>
      <w:bookmarkStart w:id="233" w:name="_Toc72330197"/>
      <w:bookmarkStart w:id="234" w:name="_Toc72334851"/>
      <w:bookmarkStart w:id="235" w:name="_Toc144279294"/>
      <w:r w:rsidRPr="00275B6E">
        <w:t>Estimation of Uncertainties</w:t>
      </w:r>
      <w:bookmarkEnd w:id="229"/>
      <w:bookmarkEnd w:id="230"/>
      <w:bookmarkEnd w:id="231"/>
      <w:bookmarkEnd w:id="232"/>
      <w:bookmarkEnd w:id="233"/>
      <w:bookmarkEnd w:id="234"/>
      <w:bookmarkEnd w:id="235"/>
    </w:p>
    <w:tbl>
      <w:tblPr>
        <w:tblpPr w:leftFromText="180" w:rightFromText="180" w:vertAnchor="text" w:tblpX="432" w:tblpY="213"/>
        <w:tblW w:w="932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000" w:firstRow="0" w:lastRow="0" w:firstColumn="0" w:lastColumn="0" w:noHBand="0" w:noVBand="0"/>
      </w:tblPr>
      <w:tblGrid>
        <w:gridCol w:w="1668"/>
        <w:gridCol w:w="3685"/>
        <w:gridCol w:w="3969"/>
      </w:tblGrid>
      <w:tr w:rsidR="00F02B2B" w:rsidRPr="00275B6E" w14:paraId="391A470F" w14:textId="77777777" w:rsidTr="00493AFA">
        <w:trPr>
          <w:trHeight w:val="701"/>
        </w:trPr>
        <w:tc>
          <w:tcPr>
            <w:tcW w:w="1668" w:type="dxa"/>
            <w:tcBorders>
              <w:bottom w:val="single" w:sz="4" w:space="0" w:color="A6A6A6"/>
            </w:tcBorders>
            <w:vAlign w:val="center"/>
          </w:tcPr>
          <w:p w14:paraId="2CC86C96" w14:textId="77777777" w:rsidR="00F02B2B" w:rsidRPr="0025195C" w:rsidRDefault="00F02B2B" w:rsidP="00493AFA">
            <w:pPr>
              <w:tabs>
                <w:tab w:val="left" w:pos="0"/>
              </w:tabs>
              <w:spacing w:before="120" w:after="120"/>
              <w:ind w:left="0"/>
              <w:rPr>
                <w:b/>
                <w:sz w:val="18"/>
                <w:szCs w:val="18"/>
              </w:rPr>
            </w:pPr>
            <w:r w:rsidRPr="0025195C">
              <w:rPr>
                <w:b/>
                <w:sz w:val="18"/>
                <w:szCs w:val="18"/>
              </w:rPr>
              <w:t>Item</w:t>
            </w:r>
          </w:p>
        </w:tc>
        <w:tc>
          <w:tcPr>
            <w:tcW w:w="3685" w:type="dxa"/>
            <w:tcBorders>
              <w:bottom w:val="single" w:sz="4" w:space="0" w:color="A6A6A6"/>
            </w:tcBorders>
            <w:vAlign w:val="center"/>
          </w:tcPr>
          <w:p w14:paraId="1FFA8252" w14:textId="77777777" w:rsidR="00F02B2B" w:rsidRPr="0025195C" w:rsidRDefault="00F02B2B" w:rsidP="00493AFA">
            <w:pPr>
              <w:tabs>
                <w:tab w:val="left" w:pos="0"/>
              </w:tabs>
              <w:spacing w:before="120" w:after="120"/>
              <w:ind w:left="0"/>
              <w:rPr>
                <w:b/>
                <w:sz w:val="18"/>
                <w:szCs w:val="18"/>
              </w:rPr>
            </w:pPr>
            <w:r w:rsidRPr="0025195C">
              <w:rPr>
                <w:b/>
                <w:sz w:val="18"/>
                <w:szCs w:val="18"/>
              </w:rPr>
              <w:t>Uncertainties</w:t>
            </w:r>
          </w:p>
        </w:tc>
        <w:tc>
          <w:tcPr>
            <w:tcW w:w="3969" w:type="dxa"/>
            <w:tcBorders>
              <w:bottom w:val="single" w:sz="4" w:space="0" w:color="A6A6A6"/>
            </w:tcBorders>
            <w:vAlign w:val="center"/>
          </w:tcPr>
          <w:p w14:paraId="686656BC" w14:textId="77777777" w:rsidR="00F02B2B" w:rsidRPr="0025195C" w:rsidRDefault="00F02B2B" w:rsidP="00493AFA">
            <w:pPr>
              <w:tabs>
                <w:tab w:val="left" w:pos="0"/>
              </w:tabs>
              <w:spacing w:before="120" w:after="120"/>
              <w:ind w:left="0"/>
              <w:jc w:val="left"/>
              <w:rPr>
                <w:b/>
                <w:sz w:val="18"/>
                <w:szCs w:val="18"/>
              </w:rPr>
            </w:pPr>
            <w:r w:rsidRPr="0025195C">
              <w:rPr>
                <w:b/>
                <w:sz w:val="18"/>
                <w:szCs w:val="18"/>
              </w:rPr>
              <w:t>Effect if actual results differ from assumptions</w:t>
            </w:r>
          </w:p>
        </w:tc>
      </w:tr>
      <w:tr w:rsidR="00F02B2B" w:rsidRPr="00DF2E89" w14:paraId="211865B1" w14:textId="77777777" w:rsidTr="00493AFA">
        <w:trPr>
          <w:trHeight w:val="847"/>
        </w:trPr>
        <w:tc>
          <w:tcPr>
            <w:tcW w:w="1668" w:type="dxa"/>
            <w:tcBorders>
              <w:top w:val="single" w:sz="4" w:space="0" w:color="A6A6A6"/>
            </w:tcBorders>
          </w:tcPr>
          <w:p w14:paraId="4024DF58" w14:textId="4123DCAB" w:rsidR="00F02B2B" w:rsidRPr="00D005EB" w:rsidRDefault="00F02B2B" w:rsidP="00D005EB">
            <w:pPr>
              <w:tabs>
                <w:tab w:val="left" w:pos="0"/>
              </w:tabs>
              <w:spacing w:before="120" w:after="120"/>
              <w:ind w:left="0"/>
              <w:rPr>
                <w:sz w:val="18"/>
                <w:szCs w:val="18"/>
              </w:rPr>
            </w:pPr>
            <w:r w:rsidRPr="00D005EB">
              <w:rPr>
                <w:sz w:val="18"/>
                <w:szCs w:val="18"/>
              </w:rPr>
              <w:t>Pension liability £1,</w:t>
            </w:r>
            <w:r w:rsidR="00972484">
              <w:rPr>
                <w:sz w:val="18"/>
                <w:szCs w:val="18"/>
              </w:rPr>
              <w:t>719,564</w:t>
            </w:r>
          </w:p>
        </w:tc>
        <w:tc>
          <w:tcPr>
            <w:tcW w:w="3685" w:type="dxa"/>
            <w:tcBorders>
              <w:top w:val="single" w:sz="4" w:space="0" w:color="A6A6A6"/>
            </w:tcBorders>
          </w:tcPr>
          <w:p w14:paraId="61990517" w14:textId="77777777" w:rsidR="00F02B2B" w:rsidRPr="00D005EB" w:rsidRDefault="00F02B2B" w:rsidP="00493AFA">
            <w:pPr>
              <w:tabs>
                <w:tab w:val="left" w:pos="0"/>
              </w:tabs>
              <w:spacing w:before="120" w:after="120"/>
              <w:ind w:left="0"/>
              <w:rPr>
                <w:sz w:val="18"/>
                <w:szCs w:val="18"/>
              </w:rPr>
            </w:pPr>
            <w:r w:rsidRPr="00D005EB">
              <w:rPr>
                <w:sz w:val="18"/>
                <w:szCs w:val="18"/>
              </w:rPr>
              <w:t xml:space="preserve">Estimation of the net liability to pay pensions depends on </w:t>
            </w:r>
            <w:proofErr w:type="gramStart"/>
            <w:r w:rsidRPr="00D005EB">
              <w:rPr>
                <w:sz w:val="18"/>
                <w:szCs w:val="18"/>
              </w:rPr>
              <w:t>a number of</w:t>
            </w:r>
            <w:proofErr w:type="gramEnd"/>
            <w:r w:rsidRPr="00D005EB">
              <w:rPr>
                <w:sz w:val="18"/>
                <w:szCs w:val="18"/>
              </w:rPr>
              <w:t xml:space="preserve"> complex judgements relating to the discount rate used, the rate at which salaries are projected to increase, changes in retirement ages, mortality rates and expected returns on pension fund assets.</w:t>
            </w:r>
          </w:p>
          <w:p w14:paraId="46652031" w14:textId="77777777" w:rsidR="00F02B2B" w:rsidRPr="00D005EB" w:rsidRDefault="00F02B2B" w:rsidP="00493AFA">
            <w:pPr>
              <w:tabs>
                <w:tab w:val="left" w:pos="0"/>
              </w:tabs>
              <w:spacing w:before="120" w:after="120"/>
              <w:ind w:left="0"/>
              <w:rPr>
                <w:sz w:val="18"/>
                <w:szCs w:val="18"/>
              </w:rPr>
            </w:pPr>
            <w:r w:rsidRPr="00D005EB">
              <w:rPr>
                <w:sz w:val="18"/>
                <w:szCs w:val="18"/>
              </w:rPr>
              <w:t>A firm of consulting actuaries is engaged to provide the Chief Constable with expert advice about the assumptions to be applied.</w:t>
            </w:r>
          </w:p>
        </w:tc>
        <w:tc>
          <w:tcPr>
            <w:tcW w:w="3969" w:type="dxa"/>
            <w:tcBorders>
              <w:top w:val="single" w:sz="4" w:space="0" w:color="A6A6A6"/>
            </w:tcBorders>
          </w:tcPr>
          <w:p w14:paraId="3090D3AA" w14:textId="77777777" w:rsidR="00F02B2B" w:rsidRPr="00D005EB" w:rsidRDefault="00F02B2B" w:rsidP="00493AFA">
            <w:pPr>
              <w:tabs>
                <w:tab w:val="left" w:pos="0"/>
              </w:tabs>
              <w:spacing w:before="120" w:after="120"/>
              <w:ind w:left="0"/>
              <w:rPr>
                <w:sz w:val="18"/>
                <w:szCs w:val="18"/>
              </w:rPr>
            </w:pPr>
            <w:r w:rsidRPr="00D005EB">
              <w:rPr>
                <w:sz w:val="18"/>
                <w:szCs w:val="18"/>
              </w:rPr>
              <w:t>The effects on the net pension liability of changes in individual assumptions have been measured and described in the tables below.</w:t>
            </w:r>
          </w:p>
          <w:p w14:paraId="3F14EEC2" w14:textId="77777777" w:rsidR="00F02B2B" w:rsidRPr="00D005EB" w:rsidRDefault="00F02B2B" w:rsidP="00493AFA">
            <w:pPr>
              <w:tabs>
                <w:tab w:val="left" w:pos="0"/>
              </w:tabs>
              <w:spacing w:before="120" w:after="120"/>
              <w:ind w:left="0"/>
              <w:rPr>
                <w:sz w:val="18"/>
                <w:szCs w:val="18"/>
              </w:rPr>
            </w:pPr>
            <w:r w:rsidRPr="00D005EB">
              <w:rPr>
                <w:sz w:val="18"/>
                <w:szCs w:val="18"/>
              </w:rPr>
              <w:t>The tables give an indication of the impact of changes in the main assumptions but are not an exhaustive list of the variables involved.</w:t>
            </w:r>
          </w:p>
        </w:tc>
      </w:tr>
      <w:tr w:rsidR="00F02B2B" w:rsidRPr="00DF2E89" w14:paraId="79D1391A" w14:textId="77777777" w:rsidTr="000D31AC">
        <w:trPr>
          <w:trHeight w:val="1305"/>
        </w:trPr>
        <w:tc>
          <w:tcPr>
            <w:tcW w:w="1668" w:type="dxa"/>
          </w:tcPr>
          <w:p w14:paraId="245F288E" w14:textId="61E66D9C" w:rsidR="00F02B2B" w:rsidRPr="00D005EB" w:rsidRDefault="00F02B2B" w:rsidP="00493AFA">
            <w:pPr>
              <w:tabs>
                <w:tab w:val="left" w:pos="0"/>
              </w:tabs>
              <w:spacing w:before="120" w:after="120"/>
              <w:ind w:left="0"/>
              <w:rPr>
                <w:sz w:val="18"/>
                <w:szCs w:val="18"/>
              </w:rPr>
            </w:pPr>
            <w:r w:rsidRPr="00D005EB">
              <w:rPr>
                <w:sz w:val="18"/>
                <w:szCs w:val="18"/>
              </w:rPr>
              <w:t>Actuarial Assumptions £1,</w:t>
            </w:r>
            <w:r w:rsidR="00972484">
              <w:rPr>
                <w:sz w:val="18"/>
                <w:szCs w:val="18"/>
              </w:rPr>
              <w:t>719,564</w:t>
            </w:r>
          </w:p>
        </w:tc>
        <w:tc>
          <w:tcPr>
            <w:tcW w:w="3685" w:type="dxa"/>
          </w:tcPr>
          <w:p w14:paraId="71A3884E" w14:textId="77777777" w:rsidR="00F02B2B" w:rsidRPr="00D005EB" w:rsidRDefault="00F02B2B" w:rsidP="00493AFA">
            <w:pPr>
              <w:tabs>
                <w:tab w:val="left" w:pos="0"/>
              </w:tabs>
              <w:spacing w:before="120" w:after="120"/>
              <w:ind w:left="0"/>
              <w:rPr>
                <w:sz w:val="18"/>
                <w:szCs w:val="18"/>
              </w:rPr>
            </w:pPr>
            <w:r w:rsidRPr="00D005EB">
              <w:rPr>
                <w:sz w:val="18"/>
                <w:szCs w:val="18"/>
              </w:rPr>
              <w:t>The actuaries have assumed that CPI will be approximately 1% p.a. below RPI on average.</w:t>
            </w:r>
          </w:p>
        </w:tc>
        <w:tc>
          <w:tcPr>
            <w:tcW w:w="3969" w:type="dxa"/>
          </w:tcPr>
          <w:p w14:paraId="072A38C9" w14:textId="1FC60288" w:rsidR="00F02B2B" w:rsidRPr="00D005EB" w:rsidRDefault="00F02B2B" w:rsidP="00493AFA">
            <w:pPr>
              <w:tabs>
                <w:tab w:val="left" w:pos="0"/>
              </w:tabs>
              <w:spacing w:before="120" w:after="120"/>
              <w:ind w:left="0"/>
              <w:rPr>
                <w:sz w:val="18"/>
                <w:szCs w:val="18"/>
              </w:rPr>
            </w:pPr>
            <w:r w:rsidRPr="00D005EB">
              <w:rPr>
                <w:sz w:val="18"/>
                <w:szCs w:val="18"/>
              </w:rPr>
              <w:t xml:space="preserve">As a market in CPI linked bonds does not exist the actuaries need to make an estimate of the </w:t>
            </w:r>
            <w:proofErr w:type="gramStart"/>
            <w:r w:rsidRPr="00D005EB">
              <w:rPr>
                <w:sz w:val="18"/>
                <w:szCs w:val="18"/>
              </w:rPr>
              <w:t>long term</w:t>
            </w:r>
            <w:proofErr w:type="gramEnd"/>
            <w:r w:rsidRPr="00D005EB">
              <w:rPr>
                <w:sz w:val="18"/>
                <w:szCs w:val="18"/>
              </w:rPr>
              <w:t xml:space="preserve"> gap between RPI and CPI in order to arrive at a CPI assumption for the accounts.</w:t>
            </w:r>
          </w:p>
        </w:tc>
      </w:tr>
    </w:tbl>
    <w:p w14:paraId="6A88A296" w14:textId="76FD8558" w:rsidR="00543490" w:rsidRPr="0088012A" w:rsidRDefault="00543490" w:rsidP="0088012A">
      <w:pPr>
        <w:spacing w:before="0" w:after="0"/>
        <w:ind w:left="0"/>
        <w:contextualSpacing/>
      </w:pPr>
    </w:p>
    <w:p w14:paraId="6FACEA63" w14:textId="77777777" w:rsidR="00F02B2B" w:rsidRDefault="00F02B2B" w:rsidP="00F02B2B">
      <w:pPr>
        <w:ind w:left="284"/>
      </w:pPr>
      <w:r w:rsidRPr="00275B6E">
        <w:t>The sensitivities regarding the Police Pension Scheme liabilities are set out below.</w:t>
      </w:r>
    </w:p>
    <w:p w14:paraId="57A8D7CB" w14:textId="4A09A9B6" w:rsidR="0088012A" w:rsidRDefault="00053F10" w:rsidP="00F02B2B">
      <w:pPr>
        <w:ind w:left="284"/>
      </w:pPr>
      <w:r w:rsidRPr="00053F10">
        <w:rPr>
          <w:noProof/>
        </w:rPr>
        <w:drawing>
          <wp:inline distT="0" distB="0" distL="0" distR="0" wp14:anchorId="29946A7B" wp14:editId="0EA16EF4">
            <wp:extent cx="4886325" cy="1543685"/>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86325" cy="1543685"/>
                    </a:xfrm>
                    <a:prstGeom prst="rect">
                      <a:avLst/>
                    </a:prstGeom>
                    <a:noFill/>
                    <a:ln>
                      <a:noFill/>
                    </a:ln>
                  </pic:spPr>
                </pic:pic>
              </a:graphicData>
            </a:graphic>
          </wp:inline>
        </w:drawing>
      </w:r>
    </w:p>
    <w:p w14:paraId="6FC08C4C" w14:textId="77777777" w:rsidR="0088012A" w:rsidRDefault="0088012A">
      <w:pPr>
        <w:spacing w:before="0" w:after="200" w:line="276" w:lineRule="auto"/>
        <w:ind w:left="0"/>
        <w:jc w:val="left"/>
      </w:pPr>
      <w:r>
        <w:br w:type="page"/>
      </w:r>
    </w:p>
    <w:p w14:paraId="036B5C18" w14:textId="77777777" w:rsidR="00164AEA" w:rsidRDefault="00164AEA" w:rsidP="00E6274D">
      <w:pPr>
        <w:spacing w:after="120"/>
        <w:ind w:left="284"/>
      </w:pPr>
      <w:r w:rsidRPr="00275B6E">
        <w:lastRenderedPageBreak/>
        <w:t>The sensitivities regarding the Police Pension Scheme current service costs are set out below.</w:t>
      </w:r>
    </w:p>
    <w:p w14:paraId="48B8B3EC" w14:textId="1DDE7A06" w:rsidR="00493AFA" w:rsidRDefault="00053F10" w:rsidP="00164AEA">
      <w:pPr>
        <w:ind w:left="284"/>
      </w:pPr>
      <w:r w:rsidRPr="00053F10">
        <w:rPr>
          <w:noProof/>
        </w:rPr>
        <w:drawing>
          <wp:inline distT="0" distB="0" distL="0" distR="0" wp14:anchorId="5C33DB9A" wp14:editId="3B82A41B">
            <wp:extent cx="4886325" cy="1697355"/>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86325" cy="1697355"/>
                    </a:xfrm>
                    <a:prstGeom prst="rect">
                      <a:avLst/>
                    </a:prstGeom>
                    <a:noFill/>
                    <a:ln>
                      <a:noFill/>
                    </a:ln>
                  </pic:spPr>
                </pic:pic>
              </a:graphicData>
            </a:graphic>
          </wp:inline>
        </w:drawing>
      </w:r>
    </w:p>
    <w:p w14:paraId="70DB4F34" w14:textId="77777777" w:rsidR="00164AEA" w:rsidRDefault="00164AEA" w:rsidP="00E6274D">
      <w:pPr>
        <w:spacing w:after="120"/>
        <w:ind w:left="284"/>
      </w:pPr>
      <w:r w:rsidRPr="00275B6E">
        <w:t>The sensitivities regarding the principal assumptions used to measure the liabilities in the Local Government Pension Scheme are set out below.</w:t>
      </w:r>
    </w:p>
    <w:p w14:paraId="69DD4F75" w14:textId="2B8EE10B" w:rsidR="00053F10" w:rsidRPr="00275B6E" w:rsidRDefault="004856BE" w:rsidP="00164AEA">
      <w:pPr>
        <w:ind w:left="284"/>
      </w:pPr>
      <w:r w:rsidRPr="004856BE">
        <w:rPr>
          <w:noProof/>
        </w:rPr>
        <w:drawing>
          <wp:inline distT="0" distB="0" distL="0" distR="0" wp14:anchorId="101256E7" wp14:editId="2879275D">
            <wp:extent cx="4886554" cy="2666656"/>
            <wp:effectExtent l="0" t="0" r="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86554" cy="2666656"/>
                    </a:xfrm>
                    <a:prstGeom prst="rect">
                      <a:avLst/>
                    </a:prstGeom>
                    <a:noFill/>
                    <a:ln>
                      <a:noFill/>
                    </a:ln>
                  </pic:spPr>
                </pic:pic>
              </a:graphicData>
            </a:graphic>
          </wp:inline>
        </w:drawing>
      </w:r>
    </w:p>
    <w:p w14:paraId="1027B60F" w14:textId="77777777" w:rsidR="00BF79BA" w:rsidRDefault="00BF79BA">
      <w:pPr>
        <w:spacing w:before="0" w:after="200" w:line="276" w:lineRule="auto"/>
        <w:ind w:left="0"/>
        <w:jc w:val="left"/>
        <w:rPr>
          <w:rFonts w:eastAsiaTheme="majorEastAsia" w:cstheme="majorBidi"/>
          <w:b/>
          <w:bCs/>
          <w:szCs w:val="26"/>
        </w:rPr>
      </w:pPr>
      <w:bookmarkStart w:id="236" w:name="_Toc30600331"/>
      <w:bookmarkStart w:id="237" w:name="_Toc42205054"/>
      <w:bookmarkStart w:id="238" w:name="_Toc42271406"/>
      <w:bookmarkStart w:id="239" w:name="NoteToEFA4"/>
      <w:r>
        <w:br w:type="page"/>
      </w:r>
    </w:p>
    <w:p w14:paraId="7950A0A9" w14:textId="1ED35329" w:rsidR="00887F17" w:rsidRPr="00275B6E" w:rsidRDefault="00887F17" w:rsidP="00887F17">
      <w:pPr>
        <w:pStyle w:val="Heading2"/>
        <w:numPr>
          <w:ilvl w:val="0"/>
          <w:numId w:val="4"/>
        </w:numPr>
      </w:pPr>
      <w:bookmarkStart w:id="240" w:name="_Toc144279295"/>
      <w:r>
        <w:lastRenderedPageBreak/>
        <w:t>Going Concern</w:t>
      </w:r>
      <w:bookmarkEnd w:id="240"/>
    </w:p>
    <w:p w14:paraId="66D25EDC" w14:textId="06B96A26" w:rsidR="00BF79BA" w:rsidRPr="00BF79BA" w:rsidRDefault="00BF79BA" w:rsidP="00754431">
      <w:pPr>
        <w:pStyle w:val="ListParagraph"/>
        <w:ind w:left="360"/>
        <w:rPr>
          <w:b/>
          <w:bCs/>
        </w:rPr>
      </w:pPr>
      <w:r w:rsidRPr="00BF79BA">
        <w:rPr>
          <w:b/>
          <w:bCs/>
        </w:rPr>
        <w:t xml:space="preserve">4.1 Going Concern – Underlying Principle </w:t>
      </w:r>
    </w:p>
    <w:p w14:paraId="2DD9262F" w14:textId="77777777" w:rsidR="00BF79BA" w:rsidRPr="00754431" w:rsidRDefault="00BF79BA" w:rsidP="00754431">
      <w:pPr>
        <w:pStyle w:val="ListParagraph"/>
        <w:ind w:left="360"/>
        <w:rPr>
          <w:rFonts w:asciiTheme="minorHAnsi" w:hAnsiTheme="minorHAnsi"/>
          <w:color w:val="auto"/>
        </w:rPr>
      </w:pPr>
    </w:p>
    <w:p w14:paraId="2F8E143C" w14:textId="7E2923A3" w:rsidR="00BF79BA" w:rsidRDefault="00BF79BA" w:rsidP="00BF79BA">
      <w:pPr>
        <w:pStyle w:val="ListParagraph"/>
        <w:ind w:left="360"/>
      </w:pPr>
      <w:r>
        <w:t xml:space="preserve">These accounts have been prepared on a going concern basis that the authority will continue in operational existence for the foreseeable future.  The Police and Crime Commissioner for Lincolnshire and the Chief Constable of Lincolnshire have assessed going concern and that cash flow requirements can be met for the assessment period to </w:t>
      </w:r>
      <w:r w:rsidR="00B8783E">
        <w:t>October</w:t>
      </w:r>
      <w:r>
        <w:t xml:space="preserve"> 202</w:t>
      </w:r>
      <w:r w:rsidR="00B8783E">
        <w:t>4</w:t>
      </w:r>
      <w:r>
        <w:t xml:space="preserve">. </w:t>
      </w:r>
    </w:p>
    <w:p w14:paraId="7893D83D" w14:textId="77777777" w:rsidR="00FB56B2" w:rsidRDefault="00FB56B2" w:rsidP="00754431">
      <w:pPr>
        <w:pStyle w:val="ListParagraph"/>
        <w:ind w:left="360"/>
        <w:rPr>
          <w:rFonts w:asciiTheme="minorHAnsi" w:hAnsiTheme="minorHAnsi"/>
          <w:color w:val="auto"/>
        </w:rPr>
      </w:pPr>
    </w:p>
    <w:p w14:paraId="78AB145D" w14:textId="3206AD55" w:rsidR="00BF79BA" w:rsidRDefault="00BF79BA" w:rsidP="00FB56B2">
      <w:pPr>
        <w:pStyle w:val="ListParagraph"/>
        <w:ind w:left="360"/>
      </w:pPr>
      <w:r>
        <w:t>The provisions in the Code of Audit Practice in respect of going concern reporting requirements reflect the economic and statutory environment in which local authorities operate.</w:t>
      </w:r>
      <w:r w:rsidR="00F51716">
        <w:t xml:space="preserve">  </w:t>
      </w:r>
      <w:r>
        <w:t>These provisions confirm that, as policing bodies cannot be created or dissolved without statutory prescription, they must prepare their financial statements on a going concern basis of accounting.  Local authorities and policing bodies carry out functions essential to the local community and are themselves tax revenue-raising bodies (with limits on their revenue raising powers arising only at the discretion of central government).  If a policing body were in financial difficulty, the prospects are thus that alternative arrangements might be made by central government either for the continuation of the services it provides or for assistance with the recovery of a deficit over more than one financial year.</w:t>
      </w:r>
      <w:r w:rsidR="00F51716">
        <w:t xml:space="preserve">  </w:t>
      </w:r>
      <w:r>
        <w:t>As a result of this, it would not therefore be appropriate for the financial statements of a policing body to be provided on anything other than a going concern basis.  Accounts drawn up under the Code therefore assume that policing services will continue to operate for the foreseeable future.</w:t>
      </w:r>
      <w:r w:rsidR="00F51716">
        <w:t xml:space="preserve">  </w:t>
      </w:r>
      <w:r>
        <w:t xml:space="preserve">The Police and Crime Commissioner for Lincolnshire and the Chief Constable of Lincolnshire accounts therefore assume they will continue to operate for the foreseeable future. </w:t>
      </w:r>
    </w:p>
    <w:p w14:paraId="321A288D" w14:textId="77777777" w:rsidR="00FB56B2" w:rsidRDefault="00FB56B2" w:rsidP="00754431">
      <w:pPr>
        <w:pStyle w:val="ListParagraph"/>
        <w:ind w:left="360"/>
      </w:pPr>
    </w:p>
    <w:p w14:paraId="56393A6E" w14:textId="010AF5E8" w:rsidR="00BF79BA" w:rsidRDefault="00BF79BA" w:rsidP="00FB56B2">
      <w:pPr>
        <w:pStyle w:val="ListParagraph"/>
        <w:ind w:left="360"/>
      </w:pPr>
      <w:r>
        <w:t xml:space="preserve">Police funding is under the remit of the Home Office who approved a 3-year settlement for Police Bodies up to 2024/25.  This indicated that an additional £650m in 2023/24 and £800m in 2024/25 would be provided for Policing.  In addition, </w:t>
      </w:r>
      <w:proofErr w:type="gramStart"/>
      <w:r>
        <w:t>PCC’s</w:t>
      </w:r>
      <w:proofErr w:type="gramEnd"/>
      <w:r>
        <w:t xml:space="preserve"> were told at that time they had the flexibility to increase Council Tax by up to £10 without incurring a referendum for 2022/23, 2023/24 and 2024/25 so they could plan ahead.  This was later increased to £15 for 2023/24.  This was a good sign that the government is aware of the need for greater certainty over funding for financial planning purposes. </w:t>
      </w:r>
    </w:p>
    <w:p w14:paraId="1C887384" w14:textId="77777777" w:rsidR="00FB56B2" w:rsidRDefault="00FB56B2" w:rsidP="00754431">
      <w:pPr>
        <w:pStyle w:val="ListParagraph"/>
        <w:ind w:left="360"/>
      </w:pPr>
    </w:p>
    <w:p w14:paraId="6C837788" w14:textId="77777777" w:rsidR="00BF79BA" w:rsidRPr="00BF79BA" w:rsidRDefault="00BF79BA" w:rsidP="00754431">
      <w:pPr>
        <w:pStyle w:val="ListParagraph"/>
        <w:ind w:left="360"/>
        <w:rPr>
          <w:b/>
          <w:bCs/>
        </w:rPr>
      </w:pPr>
      <w:r w:rsidRPr="00BF79BA">
        <w:rPr>
          <w:b/>
          <w:bCs/>
        </w:rPr>
        <w:t>4.2 Going Concern – Impact of Covid-19</w:t>
      </w:r>
    </w:p>
    <w:p w14:paraId="2EB51319" w14:textId="77777777" w:rsidR="00FB56B2" w:rsidRPr="00754431" w:rsidRDefault="00FB56B2" w:rsidP="00754431">
      <w:pPr>
        <w:pStyle w:val="ListParagraph"/>
        <w:ind w:left="360"/>
        <w:rPr>
          <w:rFonts w:asciiTheme="minorHAnsi" w:hAnsiTheme="minorHAnsi"/>
          <w:color w:val="auto"/>
        </w:rPr>
      </w:pPr>
    </w:p>
    <w:p w14:paraId="0A8D99FD" w14:textId="75A1A27A" w:rsidR="00BF79BA" w:rsidRDefault="00BF79BA" w:rsidP="00FB56B2">
      <w:pPr>
        <w:pStyle w:val="ListParagraph"/>
        <w:ind w:left="360"/>
      </w:pPr>
      <w:r>
        <w:t>The emergence of Covid-19 fundamentally changed the financial regime from March 2020 for police forces with additional service requirements to enforce emergency health legislation.</w:t>
      </w:r>
      <w:r w:rsidR="00F51716">
        <w:t xml:space="preserve">  </w:t>
      </w:r>
      <w:r>
        <w:t>The Police and Crime Commissioner for Lincolnshire and the Chief Constable of Lincolnshire responded to the challenges of Covid-19 as they were publicly announced, maintaining a robust control environment to capture issues, assess capacity and capability, manage stakeholder engagement, make decisions and coordinate the Police response to Covid-19.</w:t>
      </w:r>
      <w:r w:rsidR="00F51716">
        <w:t xml:space="preserve">  </w:t>
      </w:r>
      <w:r>
        <w:t xml:space="preserve">Extensive internal and external communications issued the latest information and guidance to staff and officers daily to </w:t>
      </w:r>
      <w:proofErr w:type="gramStart"/>
      <w:r>
        <w:t>include;</w:t>
      </w:r>
      <w:proofErr w:type="gramEnd"/>
      <w:r>
        <w:t xml:space="preserve"> briefings, operational guidance, intelligence updates, personal guidance, line manager advice, staff impact and wellbeing resources</w:t>
      </w:r>
      <w:r w:rsidR="00F51716">
        <w:t>.  T</w:t>
      </w:r>
      <w:r>
        <w:t xml:space="preserve">he pandemic related elements were </w:t>
      </w:r>
      <w:proofErr w:type="gramStart"/>
      <w:r>
        <w:t>brought to a close</w:t>
      </w:r>
      <w:proofErr w:type="gramEnd"/>
      <w:r>
        <w:t xml:space="preserve"> during March 2022 as managing Covid-19 impacts were incorporated within business-as-usual activities. </w:t>
      </w:r>
    </w:p>
    <w:p w14:paraId="217280B9" w14:textId="77777777" w:rsidR="00FB56B2" w:rsidRDefault="00FB56B2" w:rsidP="00754431">
      <w:pPr>
        <w:pStyle w:val="ListParagraph"/>
        <w:ind w:left="360"/>
        <w:rPr>
          <w:rFonts w:asciiTheme="minorHAnsi" w:hAnsiTheme="minorHAnsi"/>
          <w:color w:val="auto"/>
        </w:rPr>
      </w:pPr>
    </w:p>
    <w:p w14:paraId="755942DE" w14:textId="77777777" w:rsidR="00BF79BA" w:rsidRPr="00BF79BA" w:rsidRDefault="00BF79BA" w:rsidP="00754431">
      <w:pPr>
        <w:pStyle w:val="ListParagraph"/>
        <w:ind w:left="360"/>
        <w:rPr>
          <w:b/>
          <w:bCs/>
        </w:rPr>
      </w:pPr>
      <w:r w:rsidRPr="00BF79BA">
        <w:rPr>
          <w:b/>
          <w:bCs/>
        </w:rPr>
        <w:t>4.3 Going Concern – Current &amp; Forecast Financial Position</w:t>
      </w:r>
    </w:p>
    <w:p w14:paraId="486861E9" w14:textId="77777777" w:rsidR="00FB56B2" w:rsidRPr="00754431" w:rsidRDefault="00FB56B2" w:rsidP="00754431">
      <w:pPr>
        <w:pStyle w:val="ListParagraph"/>
        <w:ind w:left="360"/>
        <w:rPr>
          <w:rFonts w:asciiTheme="minorHAnsi" w:hAnsiTheme="minorHAnsi"/>
          <w:color w:val="auto"/>
        </w:rPr>
      </w:pPr>
    </w:p>
    <w:p w14:paraId="7C67352F" w14:textId="0A4881A9" w:rsidR="00BF79BA" w:rsidRDefault="00BF79BA" w:rsidP="00FB56B2">
      <w:pPr>
        <w:pStyle w:val="ListParagraph"/>
        <w:ind w:left="360"/>
      </w:pPr>
      <w:r>
        <w:t xml:space="preserve">The 2022/23 revenue budget was set in February 2022 as a balanced budget of £151.49m. A capital and investment programme budget </w:t>
      </w:r>
      <w:proofErr w:type="gramStart"/>
      <w:r>
        <w:t>was</w:t>
      </w:r>
      <w:proofErr w:type="gramEnd"/>
      <w:r>
        <w:t xml:space="preserve"> also set in February 2022, providing a </w:t>
      </w:r>
      <w:r>
        <w:lastRenderedPageBreak/>
        <w:t xml:space="preserve">further £5.2m in 2022/23 to be financed by a combination of government grant, capital receipts, borrowing and revenue contributions. The capital programme supports investment in the estate, fleet replacement and equipment, Information Technology, business led IT Projects and operational equipment. This is essential to ensure fit-for-purpose services, to deliver savings and generate income to balance the budgets over the medium-term financial plan period to 2025/26. </w:t>
      </w:r>
    </w:p>
    <w:p w14:paraId="1AA2F1F6" w14:textId="77777777" w:rsidR="00FB56B2" w:rsidRPr="00BF79BA" w:rsidRDefault="00FB56B2" w:rsidP="00754431">
      <w:pPr>
        <w:pStyle w:val="ListParagraph"/>
        <w:ind w:left="360"/>
        <w:rPr>
          <w:rFonts w:asciiTheme="minorHAnsi" w:hAnsiTheme="minorHAnsi"/>
          <w:color w:val="auto"/>
        </w:rPr>
      </w:pPr>
    </w:p>
    <w:p w14:paraId="1E7033B4" w14:textId="77777777" w:rsidR="00BF79BA" w:rsidRPr="00BF79BA" w:rsidRDefault="00BF79BA" w:rsidP="00754431">
      <w:pPr>
        <w:pStyle w:val="ListParagraph"/>
        <w:ind w:left="360"/>
        <w:rPr>
          <w:b/>
          <w:bCs/>
        </w:rPr>
      </w:pPr>
      <w:r w:rsidRPr="00BF79BA">
        <w:rPr>
          <w:b/>
          <w:bCs/>
        </w:rPr>
        <w:t>4.4 Going Concern – Cash Position</w:t>
      </w:r>
    </w:p>
    <w:p w14:paraId="0BF01FB4" w14:textId="77777777" w:rsidR="00FB56B2" w:rsidRPr="00754431" w:rsidRDefault="00FB56B2" w:rsidP="00754431">
      <w:pPr>
        <w:pStyle w:val="ListParagraph"/>
        <w:ind w:left="360"/>
        <w:rPr>
          <w:rFonts w:asciiTheme="minorHAnsi" w:hAnsiTheme="minorHAnsi"/>
          <w:color w:val="auto"/>
        </w:rPr>
      </w:pPr>
    </w:p>
    <w:p w14:paraId="517C3BF5" w14:textId="6007E5DE" w:rsidR="00BF79BA" w:rsidRPr="00BF79BA" w:rsidRDefault="00BF79BA" w:rsidP="00754431">
      <w:pPr>
        <w:pStyle w:val="ListParagraph"/>
        <w:ind w:left="360"/>
        <w:rPr>
          <w:rFonts w:asciiTheme="minorHAnsi" w:hAnsiTheme="minorHAnsi"/>
          <w:color w:val="auto"/>
        </w:rPr>
      </w:pPr>
      <w:r>
        <w:t>The PCC for Lincolnshire had a cash equivalent balance of £</w:t>
      </w:r>
      <w:r w:rsidR="00B561EB">
        <w:t>2</w:t>
      </w:r>
      <w:r>
        <w:t>8.</w:t>
      </w:r>
      <w:r w:rsidR="00AE65E9">
        <w:t>07</w:t>
      </w:r>
      <w:r>
        <w:t xml:space="preserve">m at the end of </w:t>
      </w:r>
      <w:proofErr w:type="gramStart"/>
      <w:r w:rsidR="004533F4">
        <w:t xml:space="preserve">August </w:t>
      </w:r>
      <w:r>
        <w:t xml:space="preserve"> 2023</w:t>
      </w:r>
      <w:proofErr w:type="gramEnd"/>
      <w:r>
        <w:t>, compared to £8.87m at 31 March 2021 year-end. This includes £</w:t>
      </w:r>
      <w:r w:rsidR="00AE65E9">
        <w:t>11.475</w:t>
      </w:r>
      <w:r>
        <w:t xml:space="preserve">m in Money Market Funds (MMF) available within 24 hours (£8.87m MMF’s </w:t>
      </w:r>
      <w:proofErr w:type="gramStart"/>
      <w:r>
        <w:t>at</w:t>
      </w:r>
      <w:proofErr w:type="gramEnd"/>
      <w:r>
        <w:t xml:space="preserve"> 31 March 2021). The PCC deems the uncertainty on income cash flows low as </w:t>
      </w:r>
      <w:proofErr w:type="gramStart"/>
      <w:r>
        <w:t>the majority of</w:t>
      </w:r>
      <w:proofErr w:type="gramEnd"/>
      <w:r>
        <w:t xml:space="preserve"> its income is receivable from the Home Office and local billing authorities. The PCC and Chief Constable continue to take action to maximise and maintain sufficient cash for its activities throughout the medium term and has a borrowing strategy in place to borrow against capital investment as plans are approved.</w:t>
      </w:r>
      <w:r w:rsidR="00AE65E9">
        <w:t xml:space="preserve">  T</w:t>
      </w:r>
      <w:r>
        <w:t>he PCC is also able to mitigate any short-term deposit timing cash flow requirements with its ability to borrow short term monies from other institutions and local authorities at short notice.</w:t>
      </w:r>
      <w:r w:rsidR="00AE65E9">
        <w:t xml:space="preserve">  </w:t>
      </w:r>
      <w:r>
        <w:t xml:space="preserve">In a ‘stressed’ case scenario whereby income is constrained further in the event of unexpected economic shocks and income recovering only very slowly, The PCC has sufficient levels of reserves and investments that it would not run out of cash during 2023/24. </w:t>
      </w:r>
    </w:p>
    <w:p w14:paraId="29A62E8B" w14:textId="77777777" w:rsidR="00FB56B2" w:rsidRDefault="00FB56B2" w:rsidP="00754431">
      <w:pPr>
        <w:pStyle w:val="ListParagraph"/>
        <w:ind w:left="360"/>
        <w:rPr>
          <w:b/>
          <w:bCs/>
        </w:rPr>
      </w:pPr>
    </w:p>
    <w:p w14:paraId="4BE06789" w14:textId="3617710D" w:rsidR="00FB56B2" w:rsidRPr="00754431" w:rsidRDefault="00BF79BA" w:rsidP="00754431">
      <w:pPr>
        <w:pStyle w:val="ListParagraph"/>
        <w:numPr>
          <w:ilvl w:val="1"/>
          <w:numId w:val="55"/>
        </w:numPr>
        <w:ind w:left="284" w:firstLine="0"/>
        <w:rPr>
          <w:rFonts w:asciiTheme="minorHAnsi" w:hAnsiTheme="minorHAnsi"/>
          <w:color w:val="auto"/>
        </w:rPr>
      </w:pPr>
      <w:r w:rsidRPr="00FB56B2">
        <w:rPr>
          <w:b/>
          <w:bCs/>
        </w:rPr>
        <w:t>Going Concern – Conclusion</w:t>
      </w:r>
    </w:p>
    <w:p w14:paraId="10FAD860" w14:textId="65716FF1" w:rsidR="00BF79BA" w:rsidRPr="00FB56B2" w:rsidRDefault="00BF79BA" w:rsidP="00754431">
      <w:pPr>
        <w:ind w:left="284"/>
        <w:rPr>
          <w:rFonts w:asciiTheme="minorHAnsi" w:hAnsiTheme="minorHAnsi"/>
          <w:color w:val="auto"/>
        </w:rPr>
      </w:pPr>
      <w:r>
        <w:t>These accounts have been prepared on a going concern basis, with planned outturn and targets up to 2022/23 within the level of general useable reserves and a balanced budget in place for 2023/24.</w:t>
      </w:r>
    </w:p>
    <w:p w14:paraId="7EE80904" w14:textId="56449FE5" w:rsidR="00164AEA" w:rsidRDefault="00164AEA" w:rsidP="007E1A23">
      <w:pPr>
        <w:pStyle w:val="Heading2"/>
        <w:numPr>
          <w:ilvl w:val="0"/>
          <w:numId w:val="4"/>
        </w:numPr>
        <w:ind w:left="284" w:hanging="284"/>
      </w:pPr>
      <w:bookmarkStart w:id="241" w:name="_Toc144279296"/>
      <w:r w:rsidRPr="00275B6E">
        <w:t>Note to the Expenditure and Funding Analysis</w:t>
      </w:r>
      <w:bookmarkEnd w:id="236"/>
      <w:bookmarkEnd w:id="237"/>
      <w:bookmarkEnd w:id="238"/>
      <w:bookmarkEnd w:id="241"/>
    </w:p>
    <w:p w14:paraId="26AED97D" w14:textId="2A0A5A94" w:rsidR="00164AEA" w:rsidRDefault="004D3106" w:rsidP="00754431">
      <w:pPr>
        <w:ind w:left="0"/>
      </w:pPr>
      <w:r w:rsidRPr="004D3106">
        <w:rPr>
          <w:noProof/>
        </w:rPr>
        <w:drawing>
          <wp:inline distT="0" distB="0" distL="0" distR="0" wp14:anchorId="691465B5" wp14:editId="26B26930">
            <wp:extent cx="5731510" cy="1966595"/>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1966595"/>
                    </a:xfrm>
                    <a:prstGeom prst="rect">
                      <a:avLst/>
                    </a:prstGeom>
                    <a:noFill/>
                    <a:ln>
                      <a:noFill/>
                    </a:ln>
                  </pic:spPr>
                </pic:pic>
              </a:graphicData>
            </a:graphic>
          </wp:inline>
        </w:drawing>
      </w:r>
    </w:p>
    <w:p w14:paraId="1CDA4DC7" w14:textId="77777777" w:rsidR="00164AEA" w:rsidRDefault="00164AEA" w:rsidP="007E1A23">
      <w:pPr>
        <w:pStyle w:val="Heading2"/>
        <w:numPr>
          <w:ilvl w:val="0"/>
          <w:numId w:val="4"/>
        </w:numPr>
        <w:ind w:left="284" w:hanging="284"/>
      </w:pPr>
      <w:bookmarkStart w:id="242" w:name="_Toc30600332"/>
      <w:bookmarkStart w:id="243" w:name="_Toc42205055"/>
      <w:bookmarkStart w:id="244" w:name="_Toc42271407"/>
      <w:bookmarkStart w:id="245" w:name="_Toc144279297"/>
      <w:bookmarkEnd w:id="239"/>
      <w:r w:rsidRPr="00275B6E">
        <w:lastRenderedPageBreak/>
        <w:t>Expenditure Analysed by Nature</w:t>
      </w:r>
      <w:bookmarkEnd w:id="242"/>
      <w:bookmarkEnd w:id="243"/>
      <w:bookmarkEnd w:id="244"/>
      <w:bookmarkEnd w:id="245"/>
    </w:p>
    <w:p w14:paraId="7DE69C10" w14:textId="7A5C05F4" w:rsidR="00DF2E89" w:rsidRDefault="00A17CE9" w:rsidP="00754431">
      <w:pPr>
        <w:pStyle w:val="ListParagraph"/>
        <w:ind w:left="360"/>
      </w:pPr>
      <w:bookmarkStart w:id="246" w:name="ExpAnalByNat5"/>
      <w:r w:rsidRPr="00A17CE9">
        <w:rPr>
          <w:noProof/>
        </w:rPr>
        <w:drawing>
          <wp:inline distT="0" distB="0" distL="0" distR="0" wp14:anchorId="7913FA24" wp14:editId="49984AD8">
            <wp:extent cx="4857750" cy="45624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57750" cy="4562475"/>
                    </a:xfrm>
                    <a:prstGeom prst="rect">
                      <a:avLst/>
                    </a:prstGeom>
                    <a:noFill/>
                    <a:ln>
                      <a:noFill/>
                    </a:ln>
                  </pic:spPr>
                </pic:pic>
              </a:graphicData>
            </a:graphic>
          </wp:inline>
        </w:drawing>
      </w:r>
      <w:r w:rsidRPr="00A17CE9" w:rsidDel="00535EBE">
        <w:t xml:space="preserve"> </w:t>
      </w:r>
    </w:p>
    <w:p w14:paraId="12FE0AAD" w14:textId="77777777" w:rsidR="00B678FC" w:rsidRDefault="00B678FC">
      <w:pPr>
        <w:spacing w:before="0" w:after="200" w:line="276" w:lineRule="auto"/>
        <w:ind w:left="0"/>
        <w:jc w:val="left"/>
      </w:pPr>
      <w:r>
        <w:br w:type="page"/>
      </w:r>
    </w:p>
    <w:p w14:paraId="36EC41E0" w14:textId="77777777" w:rsidR="00164AEA" w:rsidRDefault="00164AEA" w:rsidP="007E1A23">
      <w:pPr>
        <w:pStyle w:val="Heading2"/>
        <w:numPr>
          <w:ilvl w:val="0"/>
          <w:numId w:val="4"/>
        </w:numPr>
        <w:ind w:left="284" w:hanging="284"/>
      </w:pPr>
      <w:bookmarkStart w:id="247" w:name="_Toc426961024"/>
      <w:bookmarkStart w:id="248" w:name="_Toc30600333"/>
      <w:bookmarkStart w:id="249" w:name="_Toc42205056"/>
      <w:bookmarkStart w:id="250" w:name="_Toc42271408"/>
      <w:bookmarkStart w:id="251" w:name="_Toc144279298"/>
      <w:bookmarkEnd w:id="246"/>
      <w:r w:rsidRPr="00275B6E">
        <w:lastRenderedPageBreak/>
        <w:t>Adjustments Between Accounting Basis and Funding Basis Under Regulations</w:t>
      </w:r>
      <w:bookmarkEnd w:id="247"/>
      <w:bookmarkEnd w:id="248"/>
      <w:bookmarkEnd w:id="249"/>
      <w:bookmarkEnd w:id="250"/>
      <w:bookmarkEnd w:id="251"/>
    </w:p>
    <w:p w14:paraId="20A7FC9A" w14:textId="77777777" w:rsidR="00164AEA" w:rsidRDefault="00164AEA" w:rsidP="00164AEA">
      <w:pPr>
        <w:ind w:left="0"/>
      </w:pPr>
      <w:r w:rsidRPr="00275B6E">
        <w:t>This note details the adjustments that are made to the total comprehensive income and expenditure recognised by both the Chief Constable in the year in accordance with proper accounting practice to the resources that are specified by statutory provisions as being available to the Chief Constable to meet future capital and revenue expenditure.</w:t>
      </w:r>
    </w:p>
    <w:p w14:paraId="67926BB2" w14:textId="3C879BD8" w:rsidR="0034755C" w:rsidRDefault="006F1BE0" w:rsidP="00164AEA">
      <w:pPr>
        <w:ind w:left="0"/>
      </w:pPr>
      <w:r w:rsidRPr="006F1BE0">
        <w:rPr>
          <w:noProof/>
        </w:rPr>
        <w:drawing>
          <wp:inline distT="0" distB="0" distL="0" distR="0" wp14:anchorId="055FF4D4" wp14:editId="4D6760FC">
            <wp:extent cx="5731510" cy="3500755"/>
            <wp:effectExtent l="0" t="0" r="254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3500755"/>
                    </a:xfrm>
                    <a:prstGeom prst="rect">
                      <a:avLst/>
                    </a:prstGeom>
                    <a:noFill/>
                    <a:ln>
                      <a:noFill/>
                    </a:ln>
                  </pic:spPr>
                </pic:pic>
              </a:graphicData>
            </a:graphic>
          </wp:inline>
        </w:drawing>
      </w:r>
    </w:p>
    <w:p w14:paraId="773A7E00" w14:textId="39726F42" w:rsidR="00B678FC" w:rsidRDefault="006F1BE0" w:rsidP="00164AEA">
      <w:pPr>
        <w:ind w:left="0"/>
      </w:pPr>
      <w:r w:rsidRPr="006F1BE0">
        <w:rPr>
          <w:noProof/>
        </w:rPr>
        <w:drawing>
          <wp:inline distT="0" distB="0" distL="0" distR="0" wp14:anchorId="2435373D" wp14:editId="5B44EE09">
            <wp:extent cx="5731510" cy="3536950"/>
            <wp:effectExtent l="0" t="0" r="254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3536950"/>
                    </a:xfrm>
                    <a:prstGeom prst="rect">
                      <a:avLst/>
                    </a:prstGeom>
                    <a:noFill/>
                    <a:ln>
                      <a:noFill/>
                    </a:ln>
                  </pic:spPr>
                </pic:pic>
              </a:graphicData>
            </a:graphic>
          </wp:inline>
        </w:drawing>
      </w:r>
    </w:p>
    <w:p w14:paraId="1A00CD40" w14:textId="77777777" w:rsidR="00B678FC" w:rsidRDefault="00B678FC">
      <w:pPr>
        <w:spacing w:before="0" w:after="200" w:line="276" w:lineRule="auto"/>
        <w:ind w:left="0"/>
        <w:jc w:val="left"/>
      </w:pPr>
      <w:r>
        <w:br w:type="page"/>
      </w:r>
    </w:p>
    <w:p w14:paraId="2BCEBE7B" w14:textId="77777777" w:rsidR="00164AEA" w:rsidRDefault="00164AEA" w:rsidP="007E1A23">
      <w:pPr>
        <w:pStyle w:val="Heading2"/>
        <w:numPr>
          <w:ilvl w:val="0"/>
          <w:numId w:val="4"/>
        </w:numPr>
        <w:ind w:left="284" w:hanging="284"/>
      </w:pPr>
      <w:bookmarkStart w:id="252" w:name="_Toc426961025"/>
      <w:bookmarkStart w:id="253" w:name="_Toc30600334"/>
      <w:bookmarkStart w:id="254" w:name="_Toc42205057"/>
      <w:bookmarkStart w:id="255" w:name="_Toc42271409"/>
      <w:bookmarkStart w:id="256" w:name="_Toc144279299"/>
      <w:r w:rsidRPr="00275B6E">
        <w:lastRenderedPageBreak/>
        <w:t>Other Operating Expenditure</w:t>
      </w:r>
      <w:bookmarkEnd w:id="252"/>
      <w:bookmarkEnd w:id="253"/>
      <w:bookmarkEnd w:id="254"/>
      <w:bookmarkEnd w:id="255"/>
      <w:bookmarkEnd w:id="256"/>
    </w:p>
    <w:p w14:paraId="356E514C" w14:textId="77777777" w:rsidR="00164AEA" w:rsidRDefault="00164AEA" w:rsidP="00164AEA">
      <w:pPr>
        <w:tabs>
          <w:tab w:val="left" w:pos="0"/>
        </w:tabs>
        <w:ind w:left="0"/>
      </w:pPr>
      <w:bookmarkStart w:id="257" w:name="OthrOpExp7"/>
      <w:r w:rsidRPr="00164AEA">
        <w:t>Levies are the Chief Constable’s contributions towards national police computing systems provided by the Home Office</w:t>
      </w:r>
      <w:r w:rsidRPr="00275B6E">
        <w:t>.</w:t>
      </w:r>
    </w:p>
    <w:p w14:paraId="64319791" w14:textId="77777777" w:rsidR="0034755C" w:rsidRPr="00275B6E" w:rsidRDefault="00946AA6" w:rsidP="00164AEA">
      <w:pPr>
        <w:tabs>
          <w:tab w:val="left" w:pos="0"/>
        </w:tabs>
        <w:ind w:left="0"/>
      </w:pPr>
      <w:r w:rsidRPr="00946AA6">
        <w:rPr>
          <w:noProof/>
          <w:lang w:eastAsia="en-GB"/>
        </w:rPr>
        <w:drawing>
          <wp:inline distT="0" distB="0" distL="0" distR="0" wp14:anchorId="4F9D9273" wp14:editId="6B08362B">
            <wp:extent cx="5731510" cy="962486"/>
            <wp:effectExtent l="0" t="0" r="254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962486"/>
                    </a:xfrm>
                    <a:prstGeom prst="rect">
                      <a:avLst/>
                    </a:prstGeom>
                    <a:noFill/>
                    <a:ln>
                      <a:noFill/>
                    </a:ln>
                  </pic:spPr>
                </pic:pic>
              </a:graphicData>
            </a:graphic>
          </wp:inline>
        </w:drawing>
      </w:r>
    </w:p>
    <w:p w14:paraId="5D90700A" w14:textId="77777777" w:rsidR="00164AEA" w:rsidRPr="00275B6E" w:rsidRDefault="00164AEA" w:rsidP="007E1A23">
      <w:pPr>
        <w:pStyle w:val="Heading2"/>
        <w:numPr>
          <w:ilvl w:val="0"/>
          <w:numId w:val="4"/>
        </w:numPr>
        <w:ind w:left="284" w:hanging="284"/>
      </w:pPr>
      <w:bookmarkStart w:id="258" w:name="_Toc30600335"/>
      <w:bookmarkStart w:id="259" w:name="_Toc42205058"/>
      <w:bookmarkStart w:id="260" w:name="_Toc42271410"/>
      <w:bookmarkStart w:id="261" w:name="_Toc144279300"/>
      <w:bookmarkStart w:id="262" w:name="FinInvtIE8"/>
      <w:bookmarkEnd w:id="257"/>
      <w:r w:rsidRPr="00275B6E">
        <w:t>Financing and Investment Income and Expenditure</w:t>
      </w:r>
      <w:bookmarkEnd w:id="258"/>
      <w:bookmarkEnd w:id="259"/>
      <w:bookmarkEnd w:id="260"/>
      <w:bookmarkEnd w:id="261"/>
    </w:p>
    <w:bookmarkEnd w:id="262"/>
    <w:p w14:paraId="09270BB9" w14:textId="77777777" w:rsidR="00164AEA" w:rsidRDefault="00484BC9" w:rsidP="00164AEA">
      <w:pPr>
        <w:ind w:left="0"/>
      </w:pPr>
      <w:r w:rsidRPr="00484BC9">
        <w:rPr>
          <w:noProof/>
          <w:lang w:eastAsia="en-GB"/>
        </w:rPr>
        <w:drawing>
          <wp:inline distT="0" distB="0" distL="0" distR="0" wp14:anchorId="3512FB25" wp14:editId="34398718">
            <wp:extent cx="5731510" cy="984264"/>
            <wp:effectExtent l="0" t="0" r="254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984264"/>
                    </a:xfrm>
                    <a:prstGeom prst="rect">
                      <a:avLst/>
                    </a:prstGeom>
                    <a:noFill/>
                    <a:ln>
                      <a:noFill/>
                    </a:ln>
                  </pic:spPr>
                </pic:pic>
              </a:graphicData>
            </a:graphic>
          </wp:inline>
        </w:drawing>
      </w:r>
    </w:p>
    <w:p w14:paraId="39F974C0" w14:textId="77777777" w:rsidR="00164AEA" w:rsidRDefault="00164AEA" w:rsidP="007E1A23">
      <w:pPr>
        <w:pStyle w:val="Heading2"/>
        <w:numPr>
          <w:ilvl w:val="0"/>
          <w:numId w:val="4"/>
        </w:numPr>
        <w:ind w:left="284" w:hanging="284"/>
      </w:pPr>
      <w:bookmarkStart w:id="263" w:name="_Toc30600336"/>
      <w:bookmarkStart w:id="264" w:name="_Toc42205059"/>
      <w:bookmarkStart w:id="265" w:name="_Toc42271411"/>
      <w:bookmarkStart w:id="266" w:name="_Toc144279301"/>
      <w:r>
        <w:t>Grant Income</w:t>
      </w:r>
      <w:bookmarkEnd w:id="263"/>
      <w:bookmarkEnd w:id="264"/>
      <w:bookmarkEnd w:id="265"/>
      <w:bookmarkEnd w:id="266"/>
    </w:p>
    <w:p w14:paraId="3200BA99" w14:textId="77777777" w:rsidR="00164AEA" w:rsidRDefault="00164AEA" w:rsidP="00164AEA">
      <w:pPr>
        <w:ind w:left="0"/>
      </w:pPr>
      <w:bookmarkStart w:id="267" w:name="AdjsBtwAcctAndFnd6"/>
      <w:r>
        <w:t>The Chief Constable credited the following grant to Comprehensive Income and Expenditure:</w:t>
      </w:r>
    </w:p>
    <w:p w14:paraId="6103590B" w14:textId="7622FCE2" w:rsidR="0034755C" w:rsidRPr="00164AEA" w:rsidRDefault="00BF2A67" w:rsidP="00164AEA">
      <w:pPr>
        <w:ind w:left="0"/>
      </w:pPr>
      <w:r w:rsidRPr="00BF2A67">
        <w:rPr>
          <w:noProof/>
        </w:rPr>
        <w:drawing>
          <wp:inline distT="0" distB="0" distL="0" distR="0" wp14:anchorId="24C53180" wp14:editId="036A9C23">
            <wp:extent cx="4810760" cy="1454785"/>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10760" cy="1454785"/>
                    </a:xfrm>
                    <a:prstGeom prst="rect">
                      <a:avLst/>
                    </a:prstGeom>
                    <a:noFill/>
                    <a:ln>
                      <a:noFill/>
                    </a:ln>
                  </pic:spPr>
                </pic:pic>
              </a:graphicData>
            </a:graphic>
          </wp:inline>
        </w:drawing>
      </w:r>
    </w:p>
    <w:p w14:paraId="587BF68D" w14:textId="77777777" w:rsidR="00164AEA" w:rsidRPr="00E62D33" w:rsidRDefault="00164AEA" w:rsidP="007E1A23">
      <w:pPr>
        <w:pStyle w:val="Heading2"/>
        <w:numPr>
          <w:ilvl w:val="0"/>
          <w:numId w:val="4"/>
        </w:numPr>
        <w:tabs>
          <w:tab w:val="left" w:pos="426"/>
        </w:tabs>
        <w:ind w:left="284" w:hanging="284"/>
      </w:pPr>
      <w:bookmarkStart w:id="268" w:name="_Toc426961026"/>
      <w:bookmarkStart w:id="269" w:name="_Toc30600337"/>
      <w:bookmarkStart w:id="270" w:name="_Toc42205060"/>
      <w:bookmarkStart w:id="271" w:name="_Toc42271412"/>
      <w:bookmarkStart w:id="272" w:name="_Toc144279302"/>
      <w:bookmarkEnd w:id="267"/>
      <w:r w:rsidRPr="00E62D33">
        <w:t>Intra-Group Financing</w:t>
      </w:r>
      <w:bookmarkEnd w:id="268"/>
      <w:bookmarkEnd w:id="269"/>
      <w:bookmarkEnd w:id="270"/>
      <w:bookmarkEnd w:id="271"/>
      <w:bookmarkEnd w:id="272"/>
    </w:p>
    <w:p w14:paraId="26AE6D38" w14:textId="77777777" w:rsidR="00164AEA" w:rsidRPr="00164AEA" w:rsidRDefault="00E62D33" w:rsidP="00E62D33">
      <w:pPr>
        <w:ind w:left="0"/>
      </w:pPr>
      <w:bookmarkStart w:id="273" w:name="IntGpFin9"/>
      <w:r w:rsidRPr="00275B6E">
        <w:t>An annual intra-group transfer of funds is made by the PCC to the Chief Constable.  This intra-group transfer will equal the income requirement for the Chief Constable.</w:t>
      </w:r>
    </w:p>
    <w:p w14:paraId="0CA0C9B3" w14:textId="77777777" w:rsidR="00164AEA" w:rsidRDefault="00164AEA" w:rsidP="007E1A23">
      <w:pPr>
        <w:pStyle w:val="Heading2"/>
        <w:numPr>
          <w:ilvl w:val="0"/>
          <w:numId w:val="4"/>
        </w:numPr>
        <w:tabs>
          <w:tab w:val="left" w:pos="426"/>
        </w:tabs>
        <w:ind w:left="284" w:hanging="284"/>
      </w:pPr>
      <w:bookmarkStart w:id="274" w:name="_Toc42205061"/>
      <w:bookmarkStart w:id="275" w:name="_Toc42271413"/>
      <w:bookmarkStart w:id="276" w:name="_Toc144279303"/>
      <w:bookmarkEnd w:id="273"/>
      <w:r w:rsidRPr="00164AEA">
        <w:t>Debtors</w:t>
      </w:r>
      <w:bookmarkEnd w:id="274"/>
      <w:bookmarkEnd w:id="275"/>
      <w:bookmarkEnd w:id="276"/>
    </w:p>
    <w:p w14:paraId="0F668F07" w14:textId="6F5702AE" w:rsidR="0034755C" w:rsidRPr="0034755C" w:rsidRDefault="00AA6370" w:rsidP="00754431">
      <w:pPr>
        <w:ind w:left="0"/>
      </w:pPr>
      <w:r w:rsidRPr="00AA6370">
        <w:rPr>
          <w:noProof/>
        </w:rPr>
        <w:drawing>
          <wp:inline distT="0" distB="0" distL="0" distR="0" wp14:anchorId="11D9E016" wp14:editId="2992D01E">
            <wp:extent cx="5013960" cy="990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13960" cy="990600"/>
                    </a:xfrm>
                    <a:prstGeom prst="rect">
                      <a:avLst/>
                    </a:prstGeom>
                    <a:noFill/>
                    <a:ln>
                      <a:noFill/>
                    </a:ln>
                  </pic:spPr>
                </pic:pic>
              </a:graphicData>
            </a:graphic>
          </wp:inline>
        </w:drawing>
      </w:r>
    </w:p>
    <w:p w14:paraId="6C89BF74" w14:textId="77777777" w:rsidR="00164AEA" w:rsidRPr="00275B6E" w:rsidRDefault="00164AEA" w:rsidP="007E1A23">
      <w:pPr>
        <w:pStyle w:val="Heading2"/>
        <w:numPr>
          <w:ilvl w:val="0"/>
          <w:numId w:val="4"/>
        </w:numPr>
        <w:tabs>
          <w:tab w:val="left" w:pos="426"/>
        </w:tabs>
        <w:ind w:left="284" w:hanging="284"/>
      </w:pPr>
      <w:bookmarkStart w:id="277" w:name="_Toc30600339"/>
      <w:bookmarkStart w:id="278" w:name="_Toc42205062"/>
      <w:bookmarkStart w:id="279" w:name="_Toc42271414"/>
      <w:bookmarkStart w:id="280" w:name="_Toc144279304"/>
      <w:bookmarkStart w:id="281" w:name="Creditors11"/>
      <w:r>
        <w:t xml:space="preserve">Short-Term </w:t>
      </w:r>
      <w:r w:rsidRPr="00275B6E">
        <w:t>Creditors</w:t>
      </w:r>
      <w:bookmarkEnd w:id="277"/>
      <w:bookmarkEnd w:id="278"/>
      <w:bookmarkEnd w:id="279"/>
      <w:bookmarkEnd w:id="280"/>
    </w:p>
    <w:bookmarkEnd w:id="281"/>
    <w:p w14:paraId="7B82C304" w14:textId="28C4F6B4" w:rsidR="00B678FC" w:rsidRDefault="00E72747" w:rsidP="00484BC9">
      <w:pPr>
        <w:ind w:left="0"/>
      </w:pPr>
      <w:r w:rsidRPr="00E72747">
        <w:rPr>
          <w:noProof/>
          <w:lang w:eastAsia="en-GB"/>
        </w:rPr>
        <w:drawing>
          <wp:inline distT="0" distB="0" distL="0" distR="0" wp14:anchorId="46CBCAB8" wp14:editId="6789B3D6">
            <wp:extent cx="5018405" cy="7239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18405" cy="723900"/>
                    </a:xfrm>
                    <a:prstGeom prst="rect">
                      <a:avLst/>
                    </a:prstGeom>
                    <a:noFill/>
                    <a:ln>
                      <a:noFill/>
                    </a:ln>
                  </pic:spPr>
                </pic:pic>
              </a:graphicData>
            </a:graphic>
          </wp:inline>
        </w:drawing>
      </w:r>
    </w:p>
    <w:p w14:paraId="628076A6" w14:textId="77777777" w:rsidR="00164AEA" w:rsidRDefault="00164AEA" w:rsidP="007E1A23">
      <w:pPr>
        <w:pStyle w:val="Heading2"/>
        <w:numPr>
          <w:ilvl w:val="0"/>
          <w:numId w:val="4"/>
        </w:numPr>
        <w:tabs>
          <w:tab w:val="left" w:pos="426"/>
        </w:tabs>
        <w:ind w:left="284" w:hanging="284"/>
      </w:pPr>
      <w:bookmarkStart w:id="282" w:name="_Toc426961029"/>
      <w:bookmarkStart w:id="283" w:name="_Toc30600340"/>
      <w:bookmarkStart w:id="284" w:name="_Toc42205063"/>
      <w:bookmarkStart w:id="285" w:name="_Toc42271415"/>
      <w:bookmarkStart w:id="286" w:name="_Toc144279305"/>
      <w:r w:rsidRPr="00275B6E">
        <w:lastRenderedPageBreak/>
        <w:t>Provisions</w:t>
      </w:r>
      <w:bookmarkEnd w:id="282"/>
      <w:bookmarkEnd w:id="283"/>
      <w:bookmarkEnd w:id="284"/>
      <w:bookmarkEnd w:id="285"/>
      <w:bookmarkEnd w:id="286"/>
    </w:p>
    <w:p w14:paraId="7554A46E" w14:textId="77777777" w:rsidR="00164AEA" w:rsidRDefault="00164AEA" w:rsidP="00164AEA">
      <w:pPr>
        <w:ind w:left="0"/>
      </w:pPr>
      <w:r w:rsidRPr="00275B6E">
        <w:t xml:space="preserve">The Chief Constable has made provisions to meet the costs of the liabilities described below.  They are classified as provisions because there is a present obligation to transfer economic benefit as a result of a past event, payment is </w:t>
      </w:r>
      <w:proofErr w:type="gramStart"/>
      <w:r w:rsidRPr="00275B6E">
        <w:t>probable</w:t>
      </w:r>
      <w:proofErr w:type="gramEnd"/>
      <w:r w:rsidRPr="00275B6E">
        <w:t xml:space="preserve"> and the amount can be reliably estimated.</w:t>
      </w:r>
    </w:p>
    <w:p w14:paraId="4B34FFE7" w14:textId="77777777" w:rsidR="00164AEA" w:rsidRDefault="00484BC9" w:rsidP="00164AEA">
      <w:pPr>
        <w:ind w:left="0"/>
      </w:pPr>
      <w:r w:rsidRPr="00484BC9">
        <w:rPr>
          <w:noProof/>
          <w:lang w:eastAsia="en-GB"/>
        </w:rPr>
        <w:drawing>
          <wp:inline distT="0" distB="0" distL="0" distR="0" wp14:anchorId="78A4ACD8" wp14:editId="6087C949">
            <wp:extent cx="5354955" cy="1675130"/>
            <wp:effectExtent l="0" t="0" r="0"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54955" cy="1675130"/>
                    </a:xfrm>
                    <a:prstGeom prst="rect">
                      <a:avLst/>
                    </a:prstGeom>
                    <a:noFill/>
                    <a:ln>
                      <a:noFill/>
                    </a:ln>
                  </pic:spPr>
                </pic:pic>
              </a:graphicData>
            </a:graphic>
          </wp:inline>
        </w:drawing>
      </w:r>
    </w:p>
    <w:p w14:paraId="4B4A2925" w14:textId="77777777" w:rsidR="0034755C" w:rsidRDefault="00484BC9" w:rsidP="00164AEA">
      <w:pPr>
        <w:ind w:left="0"/>
      </w:pPr>
      <w:r w:rsidRPr="00484BC9">
        <w:rPr>
          <w:noProof/>
          <w:lang w:eastAsia="en-GB"/>
        </w:rPr>
        <w:drawing>
          <wp:inline distT="0" distB="0" distL="0" distR="0" wp14:anchorId="5441E83C" wp14:editId="7F772327">
            <wp:extent cx="5354955" cy="1668145"/>
            <wp:effectExtent l="0" t="0" r="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54955" cy="1668145"/>
                    </a:xfrm>
                    <a:prstGeom prst="rect">
                      <a:avLst/>
                    </a:prstGeom>
                    <a:noFill/>
                    <a:ln>
                      <a:noFill/>
                    </a:ln>
                  </pic:spPr>
                </pic:pic>
              </a:graphicData>
            </a:graphic>
          </wp:inline>
        </w:drawing>
      </w:r>
    </w:p>
    <w:p w14:paraId="77193D51" w14:textId="77777777" w:rsidR="00164AEA" w:rsidRDefault="00164AEA" w:rsidP="00164AEA">
      <w:pPr>
        <w:ind w:left="0"/>
      </w:pPr>
      <w:r w:rsidRPr="00275B6E">
        <w:t>The only provision in the Chief Constable’s accounts is for the termination benefits of employment relating to the pension payments which are held by the Chief Constable along with the IAS19 Pension Liability.</w:t>
      </w:r>
    </w:p>
    <w:p w14:paraId="1E523434" w14:textId="77777777" w:rsidR="00164AEA" w:rsidRPr="00275B6E" w:rsidRDefault="00164AEA" w:rsidP="007E1A23">
      <w:pPr>
        <w:pStyle w:val="Heading2"/>
        <w:numPr>
          <w:ilvl w:val="0"/>
          <w:numId w:val="4"/>
        </w:numPr>
        <w:tabs>
          <w:tab w:val="left" w:pos="426"/>
        </w:tabs>
        <w:ind w:left="284" w:hanging="284"/>
      </w:pPr>
      <w:bookmarkStart w:id="287" w:name="_Toc426961030"/>
      <w:bookmarkStart w:id="288" w:name="_Toc30600341"/>
      <w:bookmarkStart w:id="289" w:name="_Toc42205064"/>
      <w:bookmarkStart w:id="290" w:name="_Toc42271416"/>
      <w:bookmarkStart w:id="291" w:name="_Toc144279306"/>
      <w:bookmarkStart w:id="292" w:name="PensRes13"/>
      <w:r w:rsidRPr="00275B6E">
        <w:t>Pensions Reserve</w:t>
      </w:r>
      <w:bookmarkEnd w:id="287"/>
      <w:bookmarkEnd w:id="288"/>
      <w:bookmarkEnd w:id="289"/>
      <w:bookmarkEnd w:id="290"/>
      <w:bookmarkEnd w:id="291"/>
    </w:p>
    <w:p w14:paraId="52A97865" w14:textId="77777777" w:rsidR="00164AEA" w:rsidRPr="00275B6E" w:rsidRDefault="00164AEA" w:rsidP="00164AEA">
      <w:pPr>
        <w:ind w:left="0"/>
      </w:pPr>
      <w:bookmarkStart w:id="293" w:name="Provisions12"/>
      <w:bookmarkEnd w:id="292"/>
      <w:r w:rsidRPr="00275B6E">
        <w:t>Pensions Reserve absorbs the timing differences arising from the different arrangements for accounting for post-employment benefits and for funding benefits in accordance with statutory provisions.</w:t>
      </w:r>
    </w:p>
    <w:p w14:paraId="4A7C9BCC" w14:textId="77777777" w:rsidR="00164AEA" w:rsidRDefault="00164AEA" w:rsidP="00164AEA">
      <w:pPr>
        <w:ind w:left="0"/>
      </w:pPr>
      <w:r w:rsidRPr="00275B6E">
        <w:t>The Chief Constable accounts for post-employment benefits in the Comprehensive Income and Expenditure Statement as the benefits are earned by employees accruing years of service.  The liability recognises inflation, changing assumptions and investment returns on any resources set aside to meet the costs.  However, statutory arrangements require a benefit earned to be financed, as the Chief Constable makes employer’s contributions to pension funds, and eventually pays any pensions for which it is directly responsible.  The debit balance on the Pensions Reserve shows a substantial shortfall in the benefits earned by past and current employees and the resources the Chief Constable has set aside to meet them.  The statutory arrangements will have been set aside by the time the benefits come to be paid.</w:t>
      </w:r>
    </w:p>
    <w:p w14:paraId="2971CA89" w14:textId="29C41281" w:rsidR="00164AEA" w:rsidRDefault="002D7F52" w:rsidP="00164AEA">
      <w:pPr>
        <w:ind w:left="0"/>
      </w:pPr>
      <w:r w:rsidRPr="002D7F52">
        <w:rPr>
          <w:noProof/>
        </w:rPr>
        <w:lastRenderedPageBreak/>
        <w:drawing>
          <wp:inline distT="0" distB="0" distL="0" distR="0" wp14:anchorId="10941B4F" wp14:editId="29B3BD39">
            <wp:extent cx="5731510" cy="2032000"/>
            <wp:effectExtent l="0" t="0" r="254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2032000"/>
                    </a:xfrm>
                    <a:prstGeom prst="rect">
                      <a:avLst/>
                    </a:prstGeom>
                    <a:noFill/>
                    <a:ln>
                      <a:noFill/>
                    </a:ln>
                  </pic:spPr>
                </pic:pic>
              </a:graphicData>
            </a:graphic>
          </wp:inline>
        </w:drawing>
      </w:r>
    </w:p>
    <w:p w14:paraId="0D73B30E" w14:textId="77777777" w:rsidR="00164AEA" w:rsidRDefault="00164AEA" w:rsidP="007E1A23">
      <w:pPr>
        <w:pStyle w:val="Heading2"/>
        <w:numPr>
          <w:ilvl w:val="0"/>
          <w:numId w:val="4"/>
        </w:numPr>
        <w:tabs>
          <w:tab w:val="left" w:pos="426"/>
        </w:tabs>
        <w:ind w:left="284" w:hanging="284"/>
      </w:pPr>
      <w:bookmarkStart w:id="294" w:name="_Toc426961032"/>
      <w:bookmarkStart w:id="295" w:name="_Toc30600342"/>
      <w:bookmarkStart w:id="296" w:name="_Toc42205065"/>
      <w:bookmarkStart w:id="297" w:name="_Toc42271417"/>
      <w:bookmarkStart w:id="298" w:name="_Toc144279307"/>
      <w:bookmarkEnd w:id="293"/>
      <w:r w:rsidRPr="00275B6E">
        <w:t xml:space="preserve">Cash Flow – Adjustments on Provision of Services for </w:t>
      </w:r>
      <w:proofErr w:type="gramStart"/>
      <w:r w:rsidRPr="00275B6E">
        <w:t>Non Cash</w:t>
      </w:r>
      <w:proofErr w:type="gramEnd"/>
      <w:r w:rsidRPr="00275B6E">
        <w:t xml:space="preserve"> Movements</w:t>
      </w:r>
      <w:bookmarkEnd w:id="294"/>
      <w:bookmarkEnd w:id="295"/>
      <w:bookmarkEnd w:id="296"/>
      <w:bookmarkEnd w:id="297"/>
      <w:bookmarkEnd w:id="298"/>
    </w:p>
    <w:p w14:paraId="2AA8C5ED" w14:textId="7E75DDAE" w:rsidR="00164AEA" w:rsidRDefault="00CC5E5E" w:rsidP="00164AEA">
      <w:pPr>
        <w:ind w:left="0"/>
      </w:pPr>
      <w:bookmarkStart w:id="299" w:name="CFAdjNonCshMov15"/>
      <w:r w:rsidRPr="00CC5E5E">
        <w:rPr>
          <w:noProof/>
        </w:rPr>
        <w:drawing>
          <wp:inline distT="0" distB="0" distL="0" distR="0" wp14:anchorId="5CDD0F39" wp14:editId="76D5ADB5">
            <wp:extent cx="4886325" cy="1111885"/>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86325" cy="1111885"/>
                    </a:xfrm>
                    <a:prstGeom prst="rect">
                      <a:avLst/>
                    </a:prstGeom>
                    <a:noFill/>
                    <a:ln>
                      <a:noFill/>
                    </a:ln>
                  </pic:spPr>
                </pic:pic>
              </a:graphicData>
            </a:graphic>
          </wp:inline>
        </w:drawing>
      </w:r>
    </w:p>
    <w:p w14:paraId="27BDE486" w14:textId="77777777" w:rsidR="00164AEA" w:rsidRPr="002D36F2" w:rsidRDefault="00164AEA" w:rsidP="007E1A23">
      <w:pPr>
        <w:pStyle w:val="Heading2"/>
        <w:numPr>
          <w:ilvl w:val="0"/>
          <w:numId w:val="4"/>
        </w:numPr>
        <w:tabs>
          <w:tab w:val="left" w:pos="426"/>
        </w:tabs>
        <w:ind w:left="284" w:hanging="284"/>
      </w:pPr>
      <w:bookmarkStart w:id="300" w:name="JntOps16"/>
      <w:bookmarkStart w:id="301" w:name="_Toc30600343"/>
      <w:bookmarkStart w:id="302" w:name="_Toc42205066"/>
      <w:bookmarkStart w:id="303" w:name="_Toc42271418"/>
      <w:bookmarkStart w:id="304" w:name="_Toc144279308"/>
      <w:bookmarkEnd w:id="299"/>
      <w:r w:rsidRPr="00275B6E">
        <w:t>Joint Operations</w:t>
      </w:r>
      <w:bookmarkEnd w:id="300"/>
      <w:bookmarkEnd w:id="301"/>
      <w:bookmarkEnd w:id="302"/>
      <w:bookmarkEnd w:id="303"/>
      <w:bookmarkEnd w:id="304"/>
    </w:p>
    <w:p w14:paraId="3AF4B0D6" w14:textId="1013A286" w:rsidR="001902DC" w:rsidRPr="001902DC" w:rsidRDefault="001902DC" w:rsidP="007E1A23">
      <w:pPr>
        <w:pStyle w:val="Heading2"/>
        <w:numPr>
          <w:ilvl w:val="1"/>
          <w:numId w:val="4"/>
        </w:numPr>
        <w:tabs>
          <w:tab w:val="left" w:pos="426"/>
          <w:tab w:val="left" w:pos="993"/>
        </w:tabs>
        <w:ind w:left="709"/>
      </w:pPr>
      <w:bookmarkStart w:id="305" w:name="_Toc42205067"/>
      <w:bookmarkStart w:id="306" w:name="_Toc42271419"/>
      <w:bookmarkStart w:id="307" w:name="_Toc42272185"/>
      <w:bookmarkStart w:id="308" w:name="_Toc72330211"/>
      <w:bookmarkStart w:id="309" w:name="_Toc72334865"/>
      <w:bookmarkStart w:id="310" w:name="_Toc144279309"/>
      <w:r w:rsidRPr="001902DC">
        <w:rPr>
          <w:bCs w:val="0"/>
        </w:rPr>
        <w:t>Sexual</w:t>
      </w:r>
      <w:r w:rsidRPr="001902DC">
        <w:rPr>
          <w:rStyle w:val="Strong"/>
        </w:rPr>
        <w:t xml:space="preserve"> </w:t>
      </w:r>
      <w:r w:rsidRPr="001902DC">
        <w:rPr>
          <w:rStyle w:val="Strong"/>
          <w:b/>
        </w:rPr>
        <w:t>Assault Referral Centre</w:t>
      </w:r>
      <w:bookmarkEnd w:id="305"/>
      <w:bookmarkEnd w:id="306"/>
      <w:bookmarkEnd w:id="307"/>
      <w:bookmarkEnd w:id="308"/>
      <w:bookmarkEnd w:id="309"/>
      <w:bookmarkEnd w:id="310"/>
      <w:r w:rsidRPr="001902DC">
        <w:t xml:space="preserve"> </w:t>
      </w:r>
    </w:p>
    <w:p w14:paraId="5830D882" w14:textId="77777777" w:rsidR="00164AEA" w:rsidRDefault="00942632" w:rsidP="001902DC">
      <w:pPr>
        <w:ind w:left="284"/>
        <w:rPr>
          <w:bCs/>
        </w:rPr>
      </w:pPr>
      <w:r w:rsidRPr="00942632">
        <w:rPr>
          <w:bCs/>
        </w:rPr>
        <w:t>The SARC is a one stop location where victims of sexual assault can receive medical care and counselling whilst at the same time having the opportunity to assist the police investigation into alleged offences.  It is a joint operation between Lincolnshire Police and Lincolnshire Partnership NHS Foundation Trust, with Lincolnshire Police acting as the lead body.  The financial statements include the PCC Group’s share of non-current assets, primarily the purchase and refurbishment costs associated with Spring Lodge (the PCC for Lincolnshire’s share is 65%).  The financial statements also include the PCC’s share of income £10k and revenue expenditure £98k compared to income of £10k and revenue expenditure of £92k in 2019/20 (the PCC for Lincolnshire’s share is 50%).</w:t>
      </w:r>
    </w:p>
    <w:p w14:paraId="64EEDA1A" w14:textId="77777777" w:rsidR="001902DC" w:rsidRDefault="001902DC" w:rsidP="007E1A23">
      <w:pPr>
        <w:pStyle w:val="Heading2"/>
        <w:numPr>
          <w:ilvl w:val="1"/>
          <w:numId w:val="4"/>
        </w:numPr>
        <w:tabs>
          <w:tab w:val="left" w:pos="426"/>
          <w:tab w:val="left" w:pos="993"/>
        </w:tabs>
        <w:ind w:left="709"/>
      </w:pPr>
      <w:bookmarkStart w:id="311" w:name="_Toc42205068"/>
      <w:bookmarkStart w:id="312" w:name="_Toc42271420"/>
      <w:bookmarkStart w:id="313" w:name="_Toc42272186"/>
      <w:bookmarkStart w:id="314" w:name="_Toc72330212"/>
      <w:bookmarkStart w:id="315" w:name="_Toc72334866"/>
      <w:bookmarkStart w:id="316" w:name="_Toc144279310"/>
      <w:r w:rsidRPr="00B462B8">
        <w:t>Regional Collaboration</w:t>
      </w:r>
      <w:bookmarkEnd w:id="311"/>
      <w:bookmarkEnd w:id="312"/>
      <w:bookmarkEnd w:id="313"/>
      <w:bookmarkEnd w:id="314"/>
      <w:bookmarkEnd w:id="315"/>
      <w:bookmarkEnd w:id="316"/>
    </w:p>
    <w:p w14:paraId="3A320058" w14:textId="77777777" w:rsidR="001902DC" w:rsidRPr="00275B6E" w:rsidRDefault="001902DC" w:rsidP="001902DC">
      <w:r w:rsidRPr="00275B6E">
        <w:t>The East Midland Regional Collaboration consists of:</w:t>
      </w:r>
    </w:p>
    <w:p w14:paraId="2B441533" w14:textId="77777777" w:rsidR="001902DC" w:rsidRPr="00675473" w:rsidRDefault="001902DC" w:rsidP="007E1A23">
      <w:pPr>
        <w:pStyle w:val="ListParagraph"/>
        <w:numPr>
          <w:ilvl w:val="0"/>
          <w:numId w:val="5"/>
        </w:numPr>
        <w:tabs>
          <w:tab w:val="left" w:pos="284"/>
        </w:tabs>
        <w:ind w:left="851" w:hanging="284"/>
        <w:contextualSpacing w:val="0"/>
      </w:pPr>
      <w:r w:rsidRPr="00B462B8">
        <w:t>East Midlands Special Operations Unit (EMSOU) including Regional Asset Recovery Team, Regional Review Unit, Collaboration Team</w:t>
      </w:r>
      <w:r>
        <w:t>,</w:t>
      </w:r>
      <w:r w:rsidRPr="00B462B8">
        <w:t xml:space="preserve"> Protected Persons Unit and</w:t>
      </w:r>
      <w:r>
        <w:t xml:space="preserve"> Technical Support Unit</w:t>
      </w:r>
      <w:r w:rsidRPr="00B462B8">
        <w:t xml:space="preserve">.  The lead body </w:t>
      </w:r>
      <w:r>
        <w:t xml:space="preserve">is </w:t>
      </w:r>
      <w:proofErr w:type="gramStart"/>
      <w:r w:rsidRPr="00B462B8">
        <w:t>Leicestershire</w:t>
      </w:r>
      <w:r w:rsidRPr="00675473">
        <w:t>;</w:t>
      </w:r>
      <w:proofErr w:type="gramEnd"/>
    </w:p>
    <w:p w14:paraId="6DEE0836" w14:textId="77777777" w:rsidR="001902DC" w:rsidRPr="00675473" w:rsidRDefault="001902DC" w:rsidP="007E1A23">
      <w:pPr>
        <w:pStyle w:val="ListParagraph"/>
        <w:numPr>
          <w:ilvl w:val="0"/>
          <w:numId w:val="5"/>
        </w:numPr>
        <w:tabs>
          <w:tab w:val="left" w:pos="284"/>
        </w:tabs>
        <w:ind w:left="851" w:hanging="284"/>
        <w:contextualSpacing w:val="0"/>
      </w:pPr>
      <w:r w:rsidRPr="00B462B8">
        <w:t xml:space="preserve">EMSOU Major Crime.  Lead body </w:t>
      </w:r>
      <w:proofErr w:type="gramStart"/>
      <w:r w:rsidRPr="00B462B8">
        <w:t>Leicestershire</w:t>
      </w:r>
      <w:r w:rsidRPr="00675473">
        <w:t>;</w:t>
      </w:r>
      <w:proofErr w:type="gramEnd"/>
    </w:p>
    <w:p w14:paraId="5FBDF2C8" w14:textId="77777777" w:rsidR="001902DC" w:rsidRPr="00675473" w:rsidRDefault="001902DC" w:rsidP="007E1A23">
      <w:pPr>
        <w:pStyle w:val="ListParagraph"/>
        <w:numPr>
          <w:ilvl w:val="0"/>
          <w:numId w:val="5"/>
        </w:numPr>
        <w:tabs>
          <w:tab w:val="left" w:pos="284"/>
        </w:tabs>
        <w:ind w:left="851" w:hanging="284"/>
        <w:contextualSpacing w:val="0"/>
      </w:pPr>
      <w:r w:rsidRPr="00B462B8">
        <w:t xml:space="preserve">Forensics.  Lead body </w:t>
      </w:r>
      <w:proofErr w:type="gramStart"/>
      <w:r w:rsidRPr="00B462B8">
        <w:t>Derbyshire</w:t>
      </w:r>
      <w:r w:rsidRPr="00675473">
        <w:t>;</w:t>
      </w:r>
      <w:proofErr w:type="gramEnd"/>
    </w:p>
    <w:p w14:paraId="1517C38B" w14:textId="77777777" w:rsidR="001902DC" w:rsidRPr="00675473" w:rsidRDefault="001902DC" w:rsidP="007E1A23">
      <w:pPr>
        <w:pStyle w:val="ListParagraph"/>
        <w:numPr>
          <w:ilvl w:val="0"/>
          <w:numId w:val="5"/>
        </w:numPr>
        <w:tabs>
          <w:tab w:val="left" w:pos="284"/>
        </w:tabs>
        <w:ind w:left="851" w:hanging="284"/>
        <w:contextualSpacing w:val="0"/>
      </w:pPr>
      <w:r w:rsidRPr="00B462B8">
        <w:t xml:space="preserve">Occupational Health Unit (OHU).  Lead body </w:t>
      </w:r>
      <w:proofErr w:type="gramStart"/>
      <w:r w:rsidRPr="00B462B8">
        <w:t>Leicestershire</w:t>
      </w:r>
      <w:r w:rsidRPr="00675473">
        <w:t>;</w:t>
      </w:r>
      <w:proofErr w:type="gramEnd"/>
    </w:p>
    <w:p w14:paraId="4BB559A7" w14:textId="77777777" w:rsidR="001902DC" w:rsidRPr="00675473" w:rsidRDefault="001902DC" w:rsidP="007E1A23">
      <w:pPr>
        <w:pStyle w:val="ListParagraph"/>
        <w:numPr>
          <w:ilvl w:val="0"/>
          <w:numId w:val="5"/>
        </w:numPr>
        <w:tabs>
          <w:tab w:val="left" w:pos="284"/>
        </w:tabs>
        <w:ind w:left="851" w:hanging="284"/>
        <w:contextualSpacing w:val="0"/>
      </w:pPr>
      <w:r w:rsidRPr="00B462B8">
        <w:t xml:space="preserve">Emergency Services Network (ESN).  Lead body </w:t>
      </w:r>
      <w:proofErr w:type="gramStart"/>
      <w:r w:rsidRPr="00B462B8">
        <w:t>Leicestershire</w:t>
      </w:r>
      <w:r w:rsidRPr="00675473">
        <w:t>;</w:t>
      </w:r>
      <w:proofErr w:type="gramEnd"/>
    </w:p>
    <w:p w14:paraId="073D3151" w14:textId="77777777" w:rsidR="001902DC" w:rsidRPr="00675473" w:rsidRDefault="001902DC" w:rsidP="007E1A23">
      <w:pPr>
        <w:pStyle w:val="ListParagraph"/>
        <w:numPr>
          <w:ilvl w:val="0"/>
          <w:numId w:val="5"/>
        </w:numPr>
        <w:tabs>
          <w:tab w:val="left" w:pos="284"/>
        </w:tabs>
        <w:ind w:left="851" w:hanging="284"/>
        <w:contextualSpacing w:val="0"/>
      </w:pPr>
      <w:r>
        <w:t xml:space="preserve">Specialist Operations Training (SOT).  Lead body </w:t>
      </w:r>
      <w:proofErr w:type="gramStart"/>
      <w:r>
        <w:t>Leicestershire</w:t>
      </w:r>
      <w:r w:rsidRPr="00675473">
        <w:t>;</w:t>
      </w:r>
      <w:proofErr w:type="gramEnd"/>
    </w:p>
    <w:p w14:paraId="51999524" w14:textId="77777777" w:rsidR="001902DC" w:rsidRPr="00675473" w:rsidRDefault="001902DC" w:rsidP="007E1A23">
      <w:pPr>
        <w:pStyle w:val="ListParagraph"/>
        <w:numPr>
          <w:ilvl w:val="0"/>
          <w:numId w:val="5"/>
        </w:numPr>
        <w:tabs>
          <w:tab w:val="left" w:pos="284"/>
        </w:tabs>
        <w:ind w:left="851" w:hanging="284"/>
        <w:contextualSpacing w:val="0"/>
      </w:pPr>
      <w:r w:rsidRPr="002D2AA9">
        <w:t>Ea</w:t>
      </w:r>
      <w:r>
        <w:t>st Midlands Criminal Justice.  L</w:t>
      </w:r>
      <w:r w:rsidRPr="002D2AA9">
        <w:t xml:space="preserve">ead body Leicestershire, Finance </w:t>
      </w:r>
      <w:proofErr w:type="gramStart"/>
      <w:r w:rsidRPr="002D2AA9">
        <w:t>Lincolnshire</w:t>
      </w:r>
      <w:r w:rsidRPr="00675473">
        <w:t>;</w:t>
      </w:r>
      <w:proofErr w:type="gramEnd"/>
    </w:p>
    <w:p w14:paraId="0BFB6012" w14:textId="77777777" w:rsidR="001902DC" w:rsidRPr="00675473" w:rsidRDefault="001902DC" w:rsidP="007E1A23">
      <w:pPr>
        <w:pStyle w:val="ListParagraph"/>
        <w:numPr>
          <w:ilvl w:val="0"/>
          <w:numId w:val="5"/>
        </w:numPr>
        <w:tabs>
          <w:tab w:val="left" w:pos="284"/>
        </w:tabs>
        <w:ind w:left="851" w:hanging="284"/>
        <w:contextualSpacing w:val="0"/>
      </w:pPr>
      <w:r w:rsidRPr="002D2AA9">
        <w:lastRenderedPageBreak/>
        <w:t>East Midlands Legal Services.  Lead body Derbyshire</w:t>
      </w:r>
      <w:r w:rsidRPr="00675473">
        <w:t>.</w:t>
      </w:r>
    </w:p>
    <w:p w14:paraId="45A14BC9" w14:textId="77777777" w:rsidR="0034755C" w:rsidRDefault="001902DC" w:rsidP="001902DC">
      <w:r w:rsidRPr="002D2AA9">
        <w:t xml:space="preserve">As all assets, liabilities and reserves are held by the PCC; only the operational policing costs have been shown in the Chief Constable’s Comprehensive Income and Expenditure Statement.  The PCC’s share of assets and liabilities is included in the PCC Group accounts.  The transactions relating to Lincolnshire’s share of a five Force collaboration is set at 13.2%, in the case of 3 Force collaborations such as </w:t>
      </w:r>
      <w:r>
        <w:t>SOT</w:t>
      </w:r>
      <w:r w:rsidRPr="002D2AA9">
        <w:t>, Lincolnshire’s share is 25.9% of revenue expenditure.  These allocations from regional forces have been included in the Comprehensive Income and Expenditure Statement</w:t>
      </w:r>
      <w:r w:rsidRPr="00275B6E">
        <w:t>.</w:t>
      </w:r>
    </w:p>
    <w:p w14:paraId="57E52F2A" w14:textId="77777777" w:rsidR="00373ED7" w:rsidRDefault="00373ED7" w:rsidP="001902DC">
      <w:r w:rsidRPr="006E5D1C">
        <w:rPr>
          <w:b/>
        </w:rPr>
        <w:t>Lincolnshire’s Share of Regional Comprehensive Income and Expenditure Statement:</w:t>
      </w:r>
    </w:p>
    <w:p w14:paraId="0E4F5399" w14:textId="77777777" w:rsidR="001902DC" w:rsidRPr="00275B6E" w:rsidRDefault="00942632" w:rsidP="001902DC">
      <w:r w:rsidRPr="00942632">
        <w:rPr>
          <w:noProof/>
          <w:lang w:eastAsia="en-GB"/>
        </w:rPr>
        <w:drawing>
          <wp:inline distT="0" distB="0" distL="0" distR="0" wp14:anchorId="0BBC8BB7" wp14:editId="5B48ADCA">
            <wp:extent cx="5237480" cy="3123565"/>
            <wp:effectExtent l="0" t="0" r="1270"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37480" cy="3123565"/>
                    </a:xfrm>
                    <a:prstGeom prst="rect">
                      <a:avLst/>
                    </a:prstGeom>
                    <a:noFill/>
                    <a:ln>
                      <a:noFill/>
                    </a:ln>
                  </pic:spPr>
                </pic:pic>
              </a:graphicData>
            </a:graphic>
          </wp:inline>
        </w:drawing>
      </w:r>
    </w:p>
    <w:p w14:paraId="1446D94B" w14:textId="77777777" w:rsidR="001902DC" w:rsidRDefault="001902DC" w:rsidP="007E1A23">
      <w:pPr>
        <w:pStyle w:val="Heading2"/>
        <w:numPr>
          <w:ilvl w:val="0"/>
          <w:numId w:val="4"/>
        </w:numPr>
        <w:tabs>
          <w:tab w:val="left" w:pos="426"/>
        </w:tabs>
        <w:ind w:left="284" w:hanging="284"/>
      </w:pPr>
      <w:bookmarkStart w:id="317" w:name="_Toc42196174"/>
      <w:bookmarkStart w:id="318" w:name="_Toc42205069"/>
      <w:bookmarkStart w:id="319" w:name="_Toc42271421"/>
      <w:bookmarkStart w:id="320" w:name="_Toc144279311"/>
      <w:r>
        <w:t>Funded Partnerships Outside Scope of Collaborative Arrangements</w:t>
      </w:r>
      <w:bookmarkEnd w:id="317"/>
      <w:bookmarkEnd w:id="318"/>
      <w:bookmarkEnd w:id="319"/>
      <w:bookmarkEnd w:id="320"/>
    </w:p>
    <w:p w14:paraId="7D0ADB5F" w14:textId="77777777" w:rsidR="001902DC" w:rsidRPr="00DE7814" w:rsidRDefault="006A792C" w:rsidP="00F4486D">
      <w:pPr>
        <w:ind w:left="0"/>
      </w:pPr>
      <w:r w:rsidRPr="006A792C">
        <w:t xml:space="preserve">Lincolnshire Road Safety Partnership (LRSP) was formed </w:t>
      </w:r>
      <w:proofErr w:type="gramStart"/>
      <w:r w:rsidRPr="006A792C">
        <w:t>in order to</w:t>
      </w:r>
      <w:proofErr w:type="gramEnd"/>
      <w:r w:rsidRPr="006A792C">
        <w:t xml:space="preserve"> reduce the number of people killed or injured on Lincolnshire’s roads.  LRSP is a unique multi-agency partnership that brings together road safety professionals from the Police, Lincolnshire County Council, Fire and Rescue, the NHS, the Highways Agency and the Probation Service.  Roads Policing Officers provide their time as an integral part of the Partnership.  Income in the year was £2,361k and expenditure £2,021k compared to income of £1,340k and expenditure of £1,041k in 2019/20</w:t>
      </w:r>
      <w:r w:rsidR="00D362E3" w:rsidRPr="00275B6E">
        <w:t>.</w:t>
      </w:r>
    </w:p>
    <w:p w14:paraId="248ED681" w14:textId="77777777" w:rsidR="001902DC" w:rsidRPr="001902DC" w:rsidRDefault="001902DC" w:rsidP="007E1A23">
      <w:pPr>
        <w:pStyle w:val="Heading2"/>
        <w:numPr>
          <w:ilvl w:val="0"/>
          <w:numId w:val="4"/>
        </w:numPr>
        <w:tabs>
          <w:tab w:val="left" w:pos="426"/>
        </w:tabs>
        <w:ind w:left="284" w:hanging="284"/>
        <w:rPr>
          <w:lang w:eastAsia="en-US"/>
        </w:rPr>
      </w:pPr>
      <w:bookmarkStart w:id="321" w:name="_Toc42196175"/>
      <w:bookmarkStart w:id="322" w:name="_Toc42205070"/>
      <w:bookmarkStart w:id="323" w:name="_Toc42271422"/>
      <w:bookmarkStart w:id="324" w:name="_Toc144279312"/>
      <w:r w:rsidRPr="001902DC">
        <w:rPr>
          <w:lang w:eastAsia="en-US"/>
        </w:rPr>
        <w:t>Audit Committee Allowances and Expenses</w:t>
      </w:r>
      <w:bookmarkEnd w:id="321"/>
      <w:bookmarkEnd w:id="322"/>
      <w:bookmarkEnd w:id="323"/>
      <w:bookmarkEnd w:id="324"/>
    </w:p>
    <w:p w14:paraId="16C7EA9B" w14:textId="77777777" w:rsidR="001902DC" w:rsidRPr="00275B6E" w:rsidRDefault="006A792C" w:rsidP="001902DC">
      <w:pPr>
        <w:ind w:left="0"/>
      </w:pPr>
      <w:r w:rsidRPr="006A792C">
        <w:t>The amount paid to members of the Joint Independent Audit Committee equated to £8,000 for the year compared to £8,685 in 2019/20.  £2,083 of the amount paid to members is charged to the PCC based on the percentage split used for allocating fin</w:t>
      </w:r>
      <w:r>
        <w:t>ance joint services costs (26%)</w:t>
      </w:r>
      <w:r w:rsidR="001902DC" w:rsidRPr="00275B6E">
        <w:t>.</w:t>
      </w:r>
    </w:p>
    <w:p w14:paraId="0E800AB0" w14:textId="77777777" w:rsidR="00D80E43" w:rsidRDefault="00D80E43" w:rsidP="00D80E43">
      <w:pPr>
        <w:ind w:left="0"/>
        <w:sectPr w:rsidR="00D80E43" w:rsidSect="00135E27">
          <w:footerReference w:type="default" r:id="rId43"/>
          <w:pgSz w:w="11906" w:h="16838"/>
          <w:pgMar w:top="1440" w:right="1440" w:bottom="1440" w:left="1440" w:header="708" w:footer="708" w:gutter="0"/>
          <w:pgBorders w:display="firstPage" w:offsetFrom="page">
            <w:top w:val="thinThickSmallGap" w:sz="18" w:space="24" w:color="000000" w:themeColor="text1"/>
            <w:left w:val="thinThickSmallGap" w:sz="18" w:space="24" w:color="000000" w:themeColor="text1"/>
            <w:bottom w:val="thickThinSmallGap" w:sz="18" w:space="24" w:color="000000" w:themeColor="text1"/>
            <w:right w:val="thickThinSmallGap" w:sz="18" w:space="24" w:color="000000" w:themeColor="text1"/>
          </w:pgBorders>
          <w:cols w:space="708"/>
          <w:titlePg/>
          <w:docGrid w:linePitch="360"/>
        </w:sectPr>
      </w:pPr>
    </w:p>
    <w:p w14:paraId="6126B543" w14:textId="77777777" w:rsidR="00D80E43" w:rsidRPr="00275B6E" w:rsidRDefault="00D80E43" w:rsidP="007E1A23">
      <w:pPr>
        <w:pStyle w:val="Heading2"/>
        <w:numPr>
          <w:ilvl w:val="0"/>
          <w:numId w:val="4"/>
        </w:numPr>
        <w:tabs>
          <w:tab w:val="left" w:pos="426"/>
        </w:tabs>
        <w:ind w:left="284" w:hanging="284"/>
      </w:pPr>
      <w:bookmarkStart w:id="325" w:name="_Toc30600345"/>
      <w:bookmarkStart w:id="326" w:name="_Toc42205071"/>
      <w:bookmarkStart w:id="327" w:name="_Toc42271423"/>
      <w:bookmarkStart w:id="328" w:name="_Toc144279313"/>
      <w:bookmarkStart w:id="329" w:name="RemnSenOffrs18"/>
      <w:bookmarkStart w:id="330" w:name="TermBens19"/>
      <w:r w:rsidRPr="00275B6E">
        <w:lastRenderedPageBreak/>
        <w:t>Remuneration of Senior Officers</w:t>
      </w:r>
      <w:bookmarkEnd w:id="325"/>
      <w:bookmarkEnd w:id="326"/>
      <w:bookmarkEnd w:id="327"/>
      <w:bookmarkEnd w:id="328"/>
    </w:p>
    <w:bookmarkEnd w:id="329"/>
    <w:bookmarkEnd w:id="330"/>
    <w:p w14:paraId="2504B571" w14:textId="77777777" w:rsidR="00D80E43" w:rsidRPr="00275B6E" w:rsidRDefault="00D80E43" w:rsidP="00D80E43">
      <w:pPr>
        <w:ind w:left="0"/>
      </w:pPr>
      <w:r w:rsidRPr="00275B6E">
        <w:t>Remuneration includes all sums paid to or receivable by an employee.  Pension contributions payable by the employee are excluded.</w:t>
      </w:r>
    </w:p>
    <w:p w14:paraId="40B16B52" w14:textId="77777777" w:rsidR="001902DC" w:rsidRDefault="00D80E43" w:rsidP="00D80E43">
      <w:pPr>
        <w:ind w:left="0"/>
      </w:pPr>
      <w:r w:rsidRPr="00275B6E">
        <w:t>The Accounting Code of Practice requires detailed disclosure for specific senior officers.  These are disclosed in the tables below.</w:t>
      </w:r>
    </w:p>
    <w:p w14:paraId="716EF643" w14:textId="77777777" w:rsidR="0034755C" w:rsidRDefault="0062147E" w:rsidP="00D80E43">
      <w:pPr>
        <w:ind w:left="0"/>
      </w:pPr>
      <w:r w:rsidRPr="0062147E">
        <w:rPr>
          <w:noProof/>
          <w:lang w:eastAsia="en-GB"/>
        </w:rPr>
        <w:drawing>
          <wp:inline distT="0" distB="0" distL="0" distR="0" wp14:anchorId="0E401513" wp14:editId="4B752297">
            <wp:extent cx="8863330" cy="185499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863330" cy="1854990"/>
                    </a:xfrm>
                    <a:prstGeom prst="rect">
                      <a:avLst/>
                    </a:prstGeom>
                    <a:noFill/>
                    <a:ln>
                      <a:noFill/>
                    </a:ln>
                  </pic:spPr>
                </pic:pic>
              </a:graphicData>
            </a:graphic>
          </wp:inline>
        </w:drawing>
      </w:r>
    </w:p>
    <w:p w14:paraId="48EA6180" w14:textId="211476C2" w:rsidR="0021593C" w:rsidRDefault="00526B5C" w:rsidP="00D80E43">
      <w:pPr>
        <w:ind w:left="0"/>
      </w:pPr>
      <w:r w:rsidRPr="00526B5C">
        <w:rPr>
          <w:noProof/>
        </w:rPr>
        <w:drawing>
          <wp:inline distT="0" distB="0" distL="0" distR="0" wp14:anchorId="57867F28" wp14:editId="56643061">
            <wp:extent cx="8863330" cy="18573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863330" cy="1857375"/>
                    </a:xfrm>
                    <a:prstGeom prst="rect">
                      <a:avLst/>
                    </a:prstGeom>
                    <a:noFill/>
                    <a:ln>
                      <a:noFill/>
                    </a:ln>
                  </pic:spPr>
                </pic:pic>
              </a:graphicData>
            </a:graphic>
          </wp:inline>
        </w:drawing>
      </w:r>
    </w:p>
    <w:p w14:paraId="62AB3A66" w14:textId="77777777" w:rsidR="001902DC" w:rsidRDefault="001902DC" w:rsidP="00D80E43">
      <w:pPr>
        <w:ind w:left="0"/>
      </w:pPr>
    </w:p>
    <w:p w14:paraId="5DEC3F28" w14:textId="77777777" w:rsidR="00D80E43" w:rsidRDefault="00D80E43" w:rsidP="00164AEA">
      <w:pPr>
        <w:ind w:left="0"/>
        <w:sectPr w:rsidR="00D80E43" w:rsidSect="00D80E43">
          <w:pgSz w:w="16838" w:h="11906" w:orient="landscape"/>
          <w:pgMar w:top="1440" w:right="1440" w:bottom="1440" w:left="1440" w:header="708" w:footer="708" w:gutter="0"/>
          <w:cols w:space="708"/>
          <w:docGrid w:linePitch="360"/>
        </w:sectPr>
      </w:pPr>
    </w:p>
    <w:p w14:paraId="4B3FD525" w14:textId="77777777" w:rsidR="00D80E43" w:rsidRPr="00275B6E" w:rsidRDefault="00D80E43" w:rsidP="007E1A23">
      <w:pPr>
        <w:pStyle w:val="Heading2"/>
        <w:numPr>
          <w:ilvl w:val="1"/>
          <w:numId w:val="4"/>
        </w:numPr>
        <w:tabs>
          <w:tab w:val="left" w:pos="426"/>
          <w:tab w:val="left" w:pos="993"/>
        </w:tabs>
        <w:ind w:left="851" w:hanging="567"/>
      </w:pPr>
      <w:bookmarkStart w:id="331" w:name="_Toc42205072"/>
      <w:bookmarkStart w:id="332" w:name="_Toc42271424"/>
      <w:bookmarkStart w:id="333" w:name="_Toc42272190"/>
      <w:bookmarkStart w:id="334" w:name="_Toc72330216"/>
      <w:bookmarkStart w:id="335" w:name="_Toc72334870"/>
      <w:bookmarkStart w:id="336" w:name="_Toc144279314"/>
      <w:r>
        <w:lastRenderedPageBreak/>
        <w:t>Remuneration Banding</w:t>
      </w:r>
      <w:bookmarkEnd w:id="331"/>
      <w:bookmarkEnd w:id="332"/>
      <w:bookmarkEnd w:id="333"/>
      <w:bookmarkEnd w:id="334"/>
      <w:bookmarkEnd w:id="335"/>
      <w:bookmarkEnd w:id="336"/>
    </w:p>
    <w:p w14:paraId="6AE0D0B1" w14:textId="77777777" w:rsidR="00164AEA" w:rsidRDefault="00D80E43" w:rsidP="00D80E43">
      <w:pPr>
        <w:ind w:left="284"/>
      </w:pPr>
      <w:r w:rsidRPr="00275B6E">
        <w:t>The table below highlights the</w:t>
      </w:r>
      <w:r>
        <w:t xml:space="preserve"> number of</w:t>
      </w:r>
      <w:r w:rsidRPr="00275B6E">
        <w:t xml:space="preserve"> employees within defined remuneration ranges</w:t>
      </w:r>
      <w:r>
        <w:t xml:space="preserve">.  </w:t>
      </w:r>
      <w:r w:rsidRPr="00275B6E">
        <w:t>This excludes the senior employees who are shown in more detail in the tables above.</w:t>
      </w:r>
    </w:p>
    <w:p w14:paraId="4DB317DA" w14:textId="6C4ADB10" w:rsidR="00D80E43" w:rsidRDefault="007C66F4" w:rsidP="00D80E43">
      <w:pPr>
        <w:ind w:left="284"/>
      </w:pPr>
      <w:r w:rsidRPr="007C66F4">
        <w:rPr>
          <w:noProof/>
        </w:rPr>
        <w:drawing>
          <wp:inline distT="0" distB="0" distL="0" distR="0" wp14:anchorId="56D1C2B9" wp14:editId="241FE6CE">
            <wp:extent cx="3810000" cy="2933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10000" cy="2933700"/>
                    </a:xfrm>
                    <a:prstGeom prst="rect">
                      <a:avLst/>
                    </a:prstGeom>
                    <a:noFill/>
                    <a:ln>
                      <a:noFill/>
                    </a:ln>
                  </pic:spPr>
                </pic:pic>
              </a:graphicData>
            </a:graphic>
          </wp:inline>
        </w:drawing>
      </w:r>
    </w:p>
    <w:p w14:paraId="6AA6E248" w14:textId="77777777" w:rsidR="00D80E43" w:rsidRPr="00275B6E" w:rsidRDefault="00D80E43" w:rsidP="007E1A23">
      <w:pPr>
        <w:pStyle w:val="Heading2"/>
        <w:numPr>
          <w:ilvl w:val="0"/>
          <w:numId w:val="4"/>
        </w:numPr>
        <w:tabs>
          <w:tab w:val="left" w:pos="426"/>
        </w:tabs>
        <w:ind w:left="284" w:hanging="284"/>
      </w:pPr>
      <w:bookmarkStart w:id="337" w:name="_Toc30600346"/>
      <w:bookmarkStart w:id="338" w:name="_Toc42205073"/>
      <w:bookmarkStart w:id="339" w:name="_Toc42271425"/>
      <w:bookmarkStart w:id="340" w:name="_Toc144279315"/>
      <w:r w:rsidRPr="00275B6E">
        <w:t>Termination Benefits</w:t>
      </w:r>
      <w:bookmarkEnd w:id="337"/>
      <w:bookmarkEnd w:id="338"/>
      <w:bookmarkEnd w:id="339"/>
      <w:bookmarkEnd w:id="340"/>
    </w:p>
    <w:p w14:paraId="1F43C710" w14:textId="77777777" w:rsidR="00373ED7" w:rsidRDefault="00D80E43" w:rsidP="00164AEA">
      <w:pPr>
        <w:ind w:left="0"/>
      </w:pPr>
      <w:r w:rsidRPr="005A5058">
        <w:t>In 2020</w:t>
      </w:r>
      <w:r w:rsidR="0062147E">
        <w:t>/21</w:t>
      </w:r>
      <w:r w:rsidRPr="005A5058">
        <w:t xml:space="preserve"> there were </w:t>
      </w:r>
      <w:r w:rsidR="0040488B">
        <w:t xml:space="preserve">no </w:t>
      </w:r>
      <w:r w:rsidR="0062147E">
        <w:t>compulsory redundancies or employment contract terminations</w:t>
      </w:r>
      <w:r w:rsidR="00946AA6">
        <w:t xml:space="preserve">. </w:t>
      </w:r>
    </w:p>
    <w:p w14:paraId="484930C1" w14:textId="022A7A01" w:rsidR="005B7F57" w:rsidRDefault="005B7F57" w:rsidP="00164AEA">
      <w:pPr>
        <w:ind w:left="0"/>
      </w:pPr>
      <w:r w:rsidRPr="005B7F57">
        <w:rPr>
          <w:noProof/>
          <w:lang w:eastAsia="en-GB"/>
        </w:rPr>
        <w:drawing>
          <wp:inline distT="0" distB="0" distL="0" distR="0" wp14:anchorId="20389C93" wp14:editId="4ADAFA15">
            <wp:extent cx="5731510" cy="1411126"/>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1411126"/>
                    </a:xfrm>
                    <a:prstGeom prst="rect">
                      <a:avLst/>
                    </a:prstGeom>
                    <a:noFill/>
                    <a:ln>
                      <a:noFill/>
                    </a:ln>
                  </pic:spPr>
                </pic:pic>
              </a:graphicData>
            </a:graphic>
          </wp:inline>
        </w:drawing>
      </w:r>
    </w:p>
    <w:p w14:paraId="063881AA" w14:textId="77777777" w:rsidR="00D80E43" w:rsidRDefault="00D80E43" w:rsidP="007E1A23">
      <w:pPr>
        <w:pStyle w:val="Heading2"/>
        <w:numPr>
          <w:ilvl w:val="0"/>
          <w:numId w:val="4"/>
        </w:numPr>
        <w:tabs>
          <w:tab w:val="left" w:pos="426"/>
        </w:tabs>
        <w:ind w:left="284" w:hanging="284"/>
      </w:pPr>
      <w:bookmarkStart w:id="341" w:name="_Toc426961040"/>
      <w:bookmarkStart w:id="342" w:name="_Toc30600347"/>
      <w:bookmarkStart w:id="343" w:name="_Toc42205074"/>
      <w:bookmarkStart w:id="344" w:name="_Toc42271426"/>
      <w:bookmarkStart w:id="345" w:name="_Toc144279316"/>
      <w:r w:rsidRPr="00275B6E">
        <w:t>Audit Costs</w:t>
      </w:r>
      <w:bookmarkEnd w:id="341"/>
      <w:bookmarkEnd w:id="342"/>
      <w:bookmarkEnd w:id="343"/>
      <w:bookmarkEnd w:id="344"/>
      <w:bookmarkEnd w:id="345"/>
    </w:p>
    <w:p w14:paraId="40D309DC" w14:textId="77777777" w:rsidR="0034755C" w:rsidRPr="0034755C" w:rsidRDefault="0040488B" w:rsidP="000C0F81">
      <w:pPr>
        <w:ind w:left="0"/>
      </w:pPr>
      <w:bookmarkStart w:id="346" w:name="AudtCosts20"/>
      <w:r w:rsidRPr="0040488B">
        <w:rPr>
          <w:noProof/>
          <w:lang w:eastAsia="en-GB"/>
        </w:rPr>
        <w:drawing>
          <wp:inline distT="0" distB="0" distL="0" distR="0" wp14:anchorId="0592915B" wp14:editId="62DF1058">
            <wp:extent cx="5179060" cy="972820"/>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79060" cy="972820"/>
                    </a:xfrm>
                    <a:prstGeom prst="rect">
                      <a:avLst/>
                    </a:prstGeom>
                    <a:noFill/>
                    <a:ln>
                      <a:noFill/>
                    </a:ln>
                  </pic:spPr>
                </pic:pic>
              </a:graphicData>
            </a:graphic>
          </wp:inline>
        </w:drawing>
      </w:r>
    </w:p>
    <w:p w14:paraId="7B2E121D" w14:textId="77777777" w:rsidR="00D80E43" w:rsidRDefault="00D80E43" w:rsidP="007E1A23">
      <w:pPr>
        <w:pStyle w:val="Heading2"/>
        <w:numPr>
          <w:ilvl w:val="0"/>
          <w:numId w:val="4"/>
        </w:numPr>
        <w:tabs>
          <w:tab w:val="left" w:pos="426"/>
        </w:tabs>
        <w:ind w:left="284" w:hanging="284"/>
      </w:pPr>
      <w:bookmarkStart w:id="347" w:name="_Toc42196180"/>
      <w:bookmarkStart w:id="348" w:name="_Toc42205075"/>
      <w:bookmarkStart w:id="349" w:name="_Toc42271427"/>
      <w:bookmarkStart w:id="350" w:name="_Toc144279317"/>
      <w:bookmarkEnd w:id="346"/>
      <w:r>
        <w:t>Related Party Transactions</w:t>
      </w:r>
      <w:bookmarkEnd w:id="347"/>
      <w:bookmarkEnd w:id="348"/>
      <w:bookmarkEnd w:id="349"/>
      <w:bookmarkEnd w:id="350"/>
    </w:p>
    <w:p w14:paraId="3179D088" w14:textId="06CB1C66" w:rsidR="00D80E43" w:rsidRPr="000D4929" w:rsidRDefault="00D80E43" w:rsidP="00D80E43">
      <w:pPr>
        <w:ind w:left="0"/>
        <w:rPr>
          <w:color w:val="auto"/>
        </w:rPr>
      </w:pPr>
      <w:bookmarkStart w:id="351" w:name="_Toc413151272"/>
      <w:r w:rsidRPr="000D4929">
        <w:rPr>
          <w:color w:val="auto"/>
        </w:rPr>
        <w:t xml:space="preserve">The entity is required to disclose details of any material transactions with related parties - bodies or individuals that have the potential to control or influence the </w:t>
      </w:r>
      <w:r w:rsidR="00594FD8">
        <w:rPr>
          <w:color w:val="auto"/>
        </w:rPr>
        <w:t>Chief Constable</w:t>
      </w:r>
      <w:r w:rsidRPr="000D4929">
        <w:rPr>
          <w:color w:val="auto"/>
        </w:rPr>
        <w:t xml:space="preserve"> or, to be controlled or influenced by </w:t>
      </w:r>
      <w:r w:rsidR="00594FD8">
        <w:rPr>
          <w:color w:val="auto"/>
        </w:rPr>
        <w:t>him</w:t>
      </w:r>
      <w:r w:rsidRPr="000D4929">
        <w:rPr>
          <w:color w:val="auto"/>
        </w:rPr>
        <w:t>.  Disclosure of these transactions allows readers to assess the extent to which the entity might have been constrained in its ability to operate independently or might have secured the ability to limit another party’s ability to bargain freely with it.</w:t>
      </w:r>
      <w:bookmarkEnd w:id="351"/>
    </w:p>
    <w:p w14:paraId="2941BDC3" w14:textId="77777777" w:rsidR="00D80E43" w:rsidRPr="008438E4" w:rsidRDefault="00D80E43" w:rsidP="007E1A23">
      <w:pPr>
        <w:pStyle w:val="Heading2"/>
        <w:numPr>
          <w:ilvl w:val="1"/>
          <w:numId w:val="4"/>
        </w:numPr>
        <w:tabs>
          <w:tab w:val="left" w:pos="567"/>
          <w:tab w:val="left" w:pos="993"/>
        </w:tabs>
        <w:ind w:left="567" w:hanging="283"/>
      </w:pPr>
      <w:bookmarkStart w:id="352" w:name="_Toc413151273"/>
      <w:bookmarkStart w:id="353" w:name="_Toc42196181"/>
      <w:bookmarkStart w:id="354" w:name="_Toc42205076"/>
      <w:bookmarkStart w:id="355" w:name="_Toc42271428"/>
      <w:bookmarkStart w:id="356" w:name="_Toc42272194"/>
      <w:bookmarkStart w:id="357" w:name="_Toc72330220"/>
      <w:bookmarkStart w:id="358" w:name="_Toc72334874"/>
      <w:bookmarkStart w:id="359" w:name="_Toc144279318"/>
      <w:r w:rsidRPr="008438E4">
        <w:lastRenderedPageBreak/>
        <w:t>UK Central Government</w:t>
      </w:r>
      <w:bookmarkEnd w:id="352"/>
      <w:bookmarkEnd w:id="353"/>
      <w:bookmarkEnd w:id="354"/>
      <w:bookmarkEnd w:id="355"/>
      <w:bookmarkEnd w:id="356"/>
      <w:bookmarkEnd w:id="357"/>
      <w:bookmarkEnd w:id="358"/>
      <w:bookmarkEnd w:id="359"/>
    </w:p>
    <w:p w14:paraId="5A1998D6" w14:textId="77777777" w:rsidR="00D80E43" w:rsidRDefault="00D80E43" w:rsidP="00E04ADA">
      <w:pPr>
        <w:tabs>
          <w:tab w:val="left" w:pos="284"/>
        </w:tabs>
        <w:ind w:left="284"/>
        <w:rPr>
          <w:color w:val="auto"/>
        </w:rPr>
      </w:pPr>
      <w:r w:rsidRPr="000D4929">
        <w:rPr>
          <w:color w:val="auto"/>
        </w:rPr>
        <w:t>The UK central government has effective control over the general operations of the PCC.  I</w:t>
      </w:r>
      <w:r>
        <w:rPr>
          <w:color w:val="auto"/>
        </w:rPr>
        <w:t xml:space="preserve">t is </w:t>
      </w:r>
      <w:r w:rsidRPr="000D4929">
        <w:rPr>
          <w:color w:val="auto"/>
        </w:rPr>
        <w:t xml:space="preserve">responsible for establishing the statutory framework within which the PCC operates.  It provides a large proportion of the PCC’s funding in the form of grants and prescribes the terms of many of the transactions that the PCC has with other parties. </w:t>
      </w:r>
    </w:p>
    <w:p w14:paraId="23093005" w14:textId="44424326" w:rsidR="00D80E43" w:rsidRPr="008438E4" w:rsidRDefault="00D47ED4" w:rsidP="007E1A23">
      <w:pPr>
        <w:pStyle w:val="Heading2"/>
        <w:numPr>
          <w:ilvl w:val="1"/>
          <w:numId w:val="4"/>
        </w:numPr>
        <w:tabs>
          <w:tab w:val="left" w:pos="567"/>
          <w:tab w:val="left" w:pos="993"/>
        </w:tabs>
        <w:ind w:left="567" w:hanging="283"/>
      </w:pPr>
      <w:bookmarkStart w:id="360" w:name="_Toc413151274"/>
      <w:bookmarkStart w:id="361" w:name="_Toc42196182"/>
      <w:bookmarkStart w:id="362" w:name="_Toc42205077"/>
      <w:bookmarkStart w:id="363" w:name="_Toc42271429"/>
      <w:bookmarkStart w:id="364" w:name="_Toc42272195"/>
      <w:bookmarkStart w:id="365" w:name="_Toc72330221"/>
      <w:bookmarkStart w:id="366" w:name="_Toc72334875"/>
      <w:bookmarkStart w:id="367" w:name="_Toc144279319"/>
      <w:r>
        <w:t>Chief Constable of</w:t>
      </w:r>
      <w:r w:rsidR="00D80E43" w:rsidRPr="008438E4">
        <w:t xml:space="preserve"> Lincolnshire</w:t>
      </w:r>
      <w:bookmarkEnd w:id="360"/>
      <w:bookmarkEnd w:id="361"/>
      <w:bookmarkEnd w:id="362"/>
      <w:bookmarkEnd w:id="363"/>
      <w:bookmarkEnd w:id="364"/>
      <w:bookmarkEnd w:id="365"/>
      <w:bookmarkEnd w:id="366"/>
      <w:bookmarkEnd w:id="367"/>
    </w:p>
    <w:p w14:paraId="32840755" w14:textId="16524524" w:rsidR="00D80E43" w:rsidRPr="000D4929" w:rsidRDefault="00D80E43" w:rsidP="00E04ADA">
      <w:pPr>
        <w:tabs>
          <w:tab w:val="left" w:pos="284"/>
        </w:tabs>
        <w:ind w:left="284"/>
        <w:rPr>
          <w:color w:val="auto"/>
        </w:rPr>
      </w:pPr>
      <w:r w:rsidRPr="000D4929">
        <w:rPr>
          <w:color w:val="auto"/>
        </w:rPr>
        <w:t xml:space="preserve">Within the Group, the Chief Constable is accountable to the Police and Crime Commissioner for Lincolnshire.  The PCC provides all funding to the </w:t>
      </w:r>
      <w:r w:rsidR="00D47ED4">
        <w:rPr>
          <w:color w:val="auto"/>
        </w:rPr>
        <w:t>Chief Constable of</w:t>
      </w:r>
      <w:r w:rsidRPr="000D4929">
        <w:rPr>
          <w:color w:val="auto"/>
        </w:rPr>
        <w:t xml:space="preserve"> the discharge of his duties.  The total funding is shown in the </w:t>
      </w:r>
      <w:r w:rsidR="00594FD8">
        <w:rPr>
          <w:color w:val="auto"/>
        </w:rPr>
        <w:t>Chief Constable</w:t>
      </w:r>
      <w:r w:rsidRPr="000D4929">
        <w:rPr>
          <w:color w:val="auto"/>
        </w:rPr>
        <w:t xml:space="preserve">’s Comprehensive Income and Expenditure Statement.  </w:t>
      </w:r>
    </w:p>
    <w:p w14:paraId="0E1A27B7" w14:textId="77777777" w:rsidR="00D80E43" w:rsidRPr="008438E4" w:rsidRDefault="00D80E43" w:rsidP="007E1A23">
      <w:pPr>
        <w:pStyle w:val="Heading2"/>
        <w:numPr>
          <w:ilvl w:val="1"/>
          <w:numId w:val="4"/>
        </w:numPr>
        <w:tabs>
          <w:tab w:val="left" w:pos="567"/>
          <w:tab w:val="left" w:pos="993"/>
        </w:tabs>
        <w:ind w:left="567" w:hanging="283"/>
      </w:pPr>
      <w:bookmarkStart w:id="368" w:name="_Toc413151275"/>
      <w:bookmarkStart w:id="369" w:name="_Toc42196183"/>
      <w:bookmarkStart w:id="370" w:name="_Toc42205078"/>
      <w:bookmarkStart w:id="371" w:name="_Toc42271430"/>
      <w:bookmarkStart w:id="372" w:name="_Toc42272196"/>
      <w:bookmarkStart w:id="373" w:name="_Toc72330222"/>
      <w:bookmarkStart w:id="374" w:name="_Toc72334876"/>
      <w:bookmarkStart w:id="375" w:name="_Toc144279320"/>
      <w:r w:rsidRPr="008438E4">
        <w:t>Officers</w:t>
      </w:r>
      <w:bookmarkEnd w:id="368"/>
      <w:bookmarkEnd w:id="369"/>
      <w:bookmarkEnd w:id="370"/>
      <w:bookmarkEnd w:id="371"/>
      <w:bookmarkEnd w:id="372"/>
      <w:bookmarkEnd w:id="373"/>
      <w:bookmarkEnd w:id="374"/>
      <w:bookmarkEnd w:id="375"/>
    </w:p>
    <w:p w14:paraId="1C72572C" w14:textId="6D333EAE" w:rsidR="00D80E43" w:rsidRPr="000D4929" w:rsidRDefault="00D80E43" w:rsidP="00E04ADA">
      <w:pPr>
        <w:tabs>
          <w:tab w:val="left" w:pos="284"/>
        </w:tabs>
        <w:ind w:left="284"/>
        <w:rPr>
          <w:color w:val="auto"/>
        </w:rPr>
      </w:pPr>
      <w:r w:rsidRPr="000D4929">
        <w:rPr>
          <w:color w:val="auto"/>
        </w:rPr>
        <w:t>The total remuneration to senior staff in 20</w:t>
      </w:r>
      <w:r>
        <w:rPr>
          <w:color w:val="auto"/>
        </w:rPr>
        <w:t>20</w:t>
      </w:r>
      <w:r w:rsidR="00A6048F">
        <w:rPr>
          <w:color w:val="auto"/>
        </w:rPr>
        <w:t>/21</w:t>
      </w:r>
      <w:r w:rsidRPr="000D4929">
        <w:rPr>
          <w:color w:val="auto"/>
        </w:rPr>
        <w:t xml:space="preserve"> is shown in Note </w:t>
      </w:r>
      <w:r w:rsidR="00C27D4E">
        <w:rPr>
          <w:color w:val="auto"/>
        </w:rPr>
        <w:t>20</w:t>
      </w:r>
      <w:r w:rsidRPr="000D4929">
        <w:rPr>
          <w:color w:val="auto"/>
        </w:rPr>
        <w:t xml:space="preserve">.  All senior officers employed by the </w:t>
      </w:r>
      <w:r w:rsidR="00594FD8">
        <w:rPr>
          <w:color w:val="auto"/>
        </w:rPr>
        <w:t>Chief Constable</w:t>
      </w:r>
      <w:r w:rsidRPr="000D4929">
        <w:rPr>
          <w:color w:val="auto"/>
        </w:rPr>
        <w:t xml:space="preserve"> at the 31 March </w:t>
      </w:r>
      <w:r>
        <w:rPr>
          <w:color w:val="auto"/>
        </w:rPr>
        <w:t>202</w:t>
      </w:r>
      <w:r w:rsidR="00A6048F">
        <w:rPr>
          <w:color w:val="auto"/>
        </w:rPr>
        <w:t>1</w:t>
      </w:r>
      <w:r w:rsidRPr="000D4929">
        <w:rPr>
          <w:color w:val="auto"/>
        </w:rPr>
        <w:t xml:space="preserve"> have completed a Related Party Transaction Declaration for the financial year in respect to themselves and close family members to identify any business dealings with the Group that fall into this category.  No further disclosures are required.</w:t>
      </w:r>
    </w:p>
    <w:p w14:paraId="6986F598" w14:textId="77777777" w:rsidR="00D80E43" w:rsidRPr="008438E4" w:rsidRDefault="00D80E43" w:rsidP="007E1A23">
      <w:pPr>
        <w:pStyle w:val="Heading2"/>
        <w:numPr>
          <w:ilvl w:val="1"/>
          <w:numId w:val="4"/>
        </w:numPr>
        <w:tabs>
          <w:tab w:val="left" w:pos="567"/>
          <w:tab w:val="left" w:pos="993"/>
        </w:tabs>
        <w:ind w:left="567" w:hanging="283"/>
      </w:pPr>
      <w:bookmarkStart w:id="376" w:name="CapFin"/>
      <w:bookmarkStart w:id="377" w:name="_Toc413151276"/>
      <w:bookmarkStart w:id="378" w:name="_Toc42196184"/>
      <w:bookmarkStart w:id="379" w:name="_Toc42205079"/>
      <w:bookmarkStart w:id="380" w:name="_Toc42271431"/>
      <w:bookmarkStart w:id="381" w:name="_Toc42272197"/>
      <w:bookmarkStart w:id="382" w:name="_Toc72330223"/>
      <w:bookmarkStart w:id="383" w:name="_Toc72334877"/>
      <w:bookmarkStart w:id="384" w:name="_Toc144279321"/>
      <w:bookmarkEnd w:id="376"/>
      <w:r w:rsidRPr="008438E4">
        <w:t>Other Public Bodies</w:t>
      </w:r>
      <w:bookmarkEnd w:id="377"/>
      <w:bookmarkEnd w:id="378"/>
      <w:bookmarkEnd w:id="379"/>
      <w:bookmarkEnd w:id="380"/>
      <w:bookmarkEnd w:id="381"/>
      <w:bookmarkEnd w:id="382"/>
      <w:bookmarkEnd w:id="383"/>
      <w:bookmarkEnd w:id="384"/>
    </w:p>
    <w:p w14:paraId="7988B469" w14:textId="1930A889" w:rsidR="00D80E43" w:rsidRDefault="00D80E43" w:rsidP="00E04ADA">
      <w:pPr>
        <w:tabs>
          <w:tab w:val="left" w:pos="284"/>
        </w:tabs>
        <w:ind w:left="284"/>
        <w:rPr>
          <w:color w:val="auto"/>
        </w:rPr>
      </w:pPr>
      <w:r w:rsidRPr="000D4929">
        <w:rPr>
          <w:color w:val="auto"/>
        </w:rPr>
        <w:t>Joint Operations and Funded Partne</w:t>
      </w:r>
      <w:r w:rsidR="00594FD8">
        <w:rPr>
          <w:color w:val="auto"/>
        </w:rPr>
        <w:t>rships are disclosed in Notes 1</w:t>
      </w:r>
      <w:r w:rsidR="00C27D4E">
        <w:rPr>
          <w:color w:val="auto"/>
        </w:rPr>
        <w:t>7</w:t>
      </w:r>
      <w:r w:rsidR="00594FD8">
        <w:rPr>
          <w:color w:val="auto"/>
        </w:rPr>
        <w:t xml:space="preserve"> and 1</w:t>
      </w:r>
      <w:r w:rsidR="00C27D4E">
        <w:rPr>
          <w:color w:val="auto"/>
        </w:rPr>
        <w:t>8</w:t>
      </w:r>
      <w:r w:rsidRPr="000D4929">
        <w:rPr>
          <w:color w:val="auto"/>
        </w:rPr>
        <w:t>.</w:t>
      </w:r>
    </w:p>
    <w:p w14:paraId="0C7E2B71" w14:textId="77777777" w:rsidR="00E04ADA" w:rsidRDefault="00E04ADA" w:rsidP="007E1A23">
      <w:pPr>
        <w:pStyle w:val="Heading2"/>
        <w:numPr>
          <w:ilvl w:val="0"/>
          <w:numId w:val="4"/>
        </w:numPr>
        <w:tabs>
          <w:tab w:val="left" w:pos="426"/>
        </w:tabs>
        <w:ind w:left="284" w:hanging="284"/>
      </w:pPr>
      <w:bookmarkStart w:id="385" w:name="_Toc426961042"/>
      <w:bookmarkStart w:id="386" w:name="_Toc30600349"/>
      <w:bookmarkStart w:id="387" w:name="_Toc42205080"/>
      <w:bookmarkStart w:id="388" w:name="_Toc42271432"/>
      <w:bookmarkStart w:id="389" w:name="_Toc144279322"/>
      <w:r w:rsidRPr="00275B6E">
        <w:t>Retirement Benefits</w:t>
      </w:r>
      <w:bookmarkEnd w:id="385"/>
      <w:bookmarkEnd w:id="386"/>
      <w:bookmarkEnd w:id="387"/>
      <w:bookmarkEnd w:id="388"/>
      <w:bookmarkEnd w:id="389"/>
    </w:p>
    <w:p w14:paraId="5F5534F0" w14:textId="0C67412C" w:rsidR="00E04ADA" w:rsidRDefault="00E04ADA" w:rsidP="007E1A23">
      <w:pPr>
        <w:pStyle w:val="Heading2"/>
        <w:numPr>
          <w:ilvl w:val="1"/>
          <w:numId w:val="4"/>
        </w:numPr>
        <w:tabs>
          <w:tab w:val="left" w:pos="567"/>
          <w:tab w:val="left" w:pos="993"/>
        </w:tabs>
        <w:ind w:left="567" w:hanging="283"/>
      </w:pPr>
      <w:bookmarkStart w:id="390" w:name="_Toc42205081"/>
      <w:bookmarkStart w:id="391" w:name="_Toc42271433"/>
      <w:bookmarkStart w:id="392" w:name="_Toc42272199"/>
      <w:bookmarkStart w:id="393" w:name="_Toc72330225"/>
      <w:bookmarkStart w:id="394" w:name="_Toc72334879"/>
      <w:bookmarkStart w:id="395" w:name="_Toc144279323"/>
      <w:r w:rsidRPr="00275B6E">
        <w:t>Participation in pension schemes</w:t>
      </w:r>
      <w:bookmarkEnd w:id="390"/>
      <w:bookmarkEnd w:id="391"/>
      <w:bookmarkEnd w:id="392"/>
      <w:bookmarkEnd w:id="393"/>
      <w:bookmarkEnd w:id="394"/>
      <w:bookmarkEnd w:id="395"/>
    </w:p>
    <w:p w14:paraId="62DCBF71" w14:textId="77777777" w:rsidR="00E04ADA" w:rsidRDefault="00E04ADA" w:rsidP="00E04ADA">
      <w:pPr>
        <w:tabs>
          <w:tab w:val="left" w:pos="284"/>
        </w:tabs>
        <w:ind w:left="284"/>
        <w:contextualSpacing/>
        <w:rPr>
          <w:color w:val="auto"/>
        </w:rPr>
      </w:pPr>
      <w:r w:rsidRPr="00E04ADA">
        <w:rPr>
          <w:color w:val="auto"/>
        </w:rPr>
        <w:t>As part of the terms and conditions of employment of its officers and other employees, the PCC Group offers retirement benefits.  Although these benefits will not actually be payable until employees retire, the PCC Group has a commitment to disclose the cost of future pension liabilities at the time that employees</w:t>
      </w:r>
      <w:r>
        <w:rPr>
          <w:color w:val="auto"/>
        </w:rPr>
        <w:t xml:space="preserve"> earn their future entitlement.</w:t>
      </w:r>
      <w:r w:rsidRPr="00E04ADA">
        <w:rPr>
          <w:color w:val="auto"/>
        </w:rPr>
        <w:cr/>
      </w:r>
    </w:p>
    <w:p w14:paraId="49A92D3D" w14:textId="5922A8A4" w:rsidR="00E04ADA" w:rsidRDefault="00E04ADA" w:rsidP="00E04ADA">
      <w:pPr>
        <w:tabs>
          <w:tab w:val="left" w:pos="284"/>
        </w:tabs>
        <w:ind w:left="284"/>
        <w:contextualSpacing/>
        <w:rPr>
          <w:color w:val="auto"/>
        </w:rPr>
      </w:pPr>
      <w:r w:rsidRPr="00E04ADA">
        <w:rPr>
          <w:color w:val="auto"/>
        </w:rPr>
        <w:t>The Group partici</w:t>
      </w:r>
      <w:r>
        <w:rPr>
          <w:color w:val="auto"/>
        </w:rPr>
        <w:t>pates in two pensions schemes:</w:t>
      </w:r>
      <w:r>
        <w:rPr>
          <w:color w:val="auto"/>
        </w:rPr>
        <w:cr/>
      </w:r>
    </w:p>
    <w:p w14:paraId="7A39592B" w14:textId="23F0AE32" w:rsidR="00E04ADA" w:rsidRPr="005B7F57" w:rsidRDefault="00E04ADA" w:rsidP="005B7F57">
      <w:pPr>
        <w:numPr>
          <w:ilvl w:val="0"/>
          <w:numId w:val="6"/>
        </w:numPr>
        <w:ind w:left="709" w:hanging="284"/>
      </w:pPr>
      <w:r w:rsidRPr="005B7F57">
        <w:t>The Local Government Pension Scheme (LGPS) for police staff is administered by West Yorkshire Pension Fund on behalf of Lincolnshire County Council.  This is a funded defined benefit scheme, meaning that the PCC Group and employees pay contributions into a fund, calculated at a level intended to balance the pension liabilities with investment assets.</w:t>
      </w:r>
    </w:p>
    <w:p w14:paraId="051EC8ED" w14:textId="77777777" w:rsidR="00E04ADA" w:rsidRPr="005B7F57" w:rsidRDefault="00E04ADA" w:rsidP="005B7F57">
      <w:pPr>
        <w:ind w:left="709"/>
      </w:pPr>
      <w:r w:rsidRPr="005B7F57">
        <w:t>Due to changes under the Public Pension Services Act 2013, from the 1 April 2014 scheme members now accrue pension entitlements based on their career-average rather than their final salary.</w:t>
      </w:r>
    </w:p>
    <w:p w14:paraId="090EDAC8" w14:textId="77777777" w:rsidR="00E04ADA" w:rsidRPr="005B7F57" w:rsidRDefault="00E04ADA" w:rsidP="005B7F57">
      <w:pPr>
        <w:ind w:left="709"/>
      </w:pPr>
      <w:r w:rsidRPr="005B7F57">
        <w:t xml:space="preserve">G4S joined Lincolnshire Police pension fund as a new Transferee Admission Body on 1 April 2012 on a “pass through” arrangement for a contract term of 10 years.  The IAS 19 results as </w:t>
      </w:r>
      <w:proofErr w:type="gramStart"/>
      <w:r w:rsidRPr="005B7F57">
        <w:t>at</w:t>
      </w:r>
      <w:proofErr w:type="gramEnd"/>
      <w:r w:rsidRPr="005B7F57">
        <w:t xml:space="preserve"> 31 March 202</w:t>
      </w:r>
      <w:r w:rsidR="00A6048F" w:rsidRPr="005B7F57">
        <w:t>1</w:t>
      </w:r>
      <w:r w:rsidRPr="005B7F57">
        <w:t xml:space="preserve"> reflect the combined G4S and Lincolnshire Police pension fund assets and liabilities.  </w:t>
      </w:r>
    </w:p>
    <w:p w14:paraId="19EBE45B" w14:textId="1EE52E01" w:rsidR="00E04ADA" w:rsidRPr="005B7F57" w:rsidRDefault="00E04ADA" w:rsidP="005B7F57">
      <w:pPr>
        <w:numPr>
          <w:ilvl w:val="0"/>
          <w:numId w:val="6"/>
        </w:numPr>
        <w:ind w:left="709" w:hanging="284"/>
      </w:pPr>
      <w:r w:rsidRPr="005B7F57">
        <w:t xml:space="preserve">The Police Pension Scheme for police officers is an unfunded defined benefit scheme.  This means that there are no investment assets built up to meet the pensions’ liabilities and cash </w:t>
      </w:r>
      <w:proofErr w:type="gramStart"/>
      <w:r w:rsidRPr="005B7F57">
        <w:t>has to</w:t>
      </w:r>
      <w:proofErr w:type="gramEnd"/>
      <w:r w:rsidRPr="005B7F57">
        <w:t xml:space="preserve"> be generated to meet actual pensions’ payments as they eventually fall due.  From the 1 April 2015 </w:t>
      </w:r>
      <w:proofErr w:type="gramStart"/>
      <w:r w:rsidRPr="005B7F57">
        <w:t>The</w:t>
      </w:r>
      <w:proofErr w:type="gramEnd"/>
      <w:r w:rsidRPr="005B7F57">
        <w:t xml:space="preserve"> Police Pension Scheme 2015 (CARE) scheme </w:t>
      </w:r>
      <w:r w:rsidRPr="005B7F57">
        <w:lastRenderedPageBreak/>
        <w:t>was introduced (under the Public Pension Services Act 2013), and members who are not covered by protection or the transitional arrangements in the previous schemes now accrue pension entitlements based on their career-average rather than their final salary.  Three schemes were in operation during 20</w:t>
      </w:r>
      <w:r w:rsidR="00E234F9" w:rsidRPr="005B7F57">
        <w:t>20/21</w:t>
      </w:r>
      <w:r w:rsidRPr="005B7F57">
        <w:t xml:space="preserve"> as well as injury awards:</w:t>
      </w:r>
    </w:p>
    <w:p w14:paraId="09A4254B" w14:textId="77777777" w:rsidR="00E04ADA" w:rsidRPr="0028154E" w:rsidRDefault="00E04ADA" w:rsidP="005B7F57">
      <w:pPr>
        <w:pStyle w:val="ListParagraph"/>
        <w:numPr>
          <w:ilvl w:val="1"/>
          <w:numId w:val="3"/>
        </w:numPr>
        <w:ind w:left="1134" w:hanging="283"/>
        <w:contextualSpacing w:val="0"/>
        <w:rPr>
          <w:lang w:val="en"/>
        </w:rPr>
      </w:pPr>
      <w:r w:rsidRPr="0028154E">
        <w:rPr>
          <w:lang w:val="en"/>
        </w:rPr>
        <w:t>The 1987 scheme (Final Salary) which is based on a maximum pensionable service of 30 years (closed to new entrants on 31 March 2006</w:t>
      </w:r>
      <w:proofErr w:type="gramStart"/>
      <w:r w:rsidRPr="0028154E">
        <w:rPr>
          <w:lang w:val="en"/>
        </w:rPr>
        <w:t>);</w:t>
      </w:r>
      <w:proofErr w:type="gramEnd"/>
    </w:p>
    <w:p w14:paraId="7937647E" w14:textId="77777777" w:rsidR="00E04ADA" w:rsidRPr="0028154E" w:rsidRDefault="00E04ADA" w:rsidP="005B7F57">
      <w:pPr>
        <w:pStyle w:val="ListParagraph"/>
        <w:numPr>
          <w:ilvl w:val="1"/>
          <w:numId w:val="3"/>
        </w:numPr>
        <w:ind w:left="1134" w:hanging="283"/>
        <w:contextualSpacing w:val="0"/>
        <w:rPr>
          <w:lang w:val="en"/>
        </w:rPr>
      </w:pPr>
      <w:r w:rsidRPr="0028154E">
        <w:rPr>
          <w:lang w:val="en"/>
        </w:rPr>
        <w:t>The 2006 scheme (Final Salary) which is based on a maximum pensionable service of 35 years (closed to new entrants on the 31 March 2015</w:t>
      </w:r>
      <w:proofErr w:type="gramStart"/>
      <w:r w:rsidRPr="0028154E">
        <w:rPr>
          <w:lang w:val="en"/>
        </w:rPr>
        <w:t>);</w:t>
      </w:r>
      <w:proofErr w:type="gramEnd"/>
    </w:p>
    <w:p w14:paraId="5D172318" w14:textId="77777777" w:rsidR="00E04ADA" w:rsidRPr="0028154E" w:rsidRDefault="00E04ADA" w:rsidP="005B7F57">
      <w:pPr>
        <w:pStyle w:val="ListParagraph"/>
        <w:numPr>
          <w:ilvl w:val="1"/>
          <w:numId w:val="3"/>
        </w:numPr>
        <w:ind w:left="1134" w:hanging="283"/>
        <w:contextualSpacing w:val="0"/>
        <w:rPr>
          <w:lang w:val="en"/>
        </w:rPr>
      </w:pPr>
      <w:r w:rsidRPr="0028154E">
        <w:rPr>
          <w:lang w:val="en"/>
        </w:rPr>
        <w:t>The 2015 (CARE) scheme which was available to new entrants from the 1 April 2015 and is a Career Average Revalued Earnings (CARE) scheme there is no maximum period of service.</w:t>
      </w:r>
    </w:p>
    <w:p w14:paraId="5BAA2A28" w14:textId="77777777" w:rsidR="00E04ADA" w:rsidRPr="005B7F57" w:rsidRDefault="00E04ADA" w:rsidP="005B7F57">
      <w:pPr>
        <w:ind w:left="709"/>
      </w:pPr>
      <w:r w:rsidRPr="005B7F57">
        <w:t xml:space="preserve">Under the Police Pension Fund Regulations 2007, if the amounts receivable by the pensions fund for the year are less than amounts payable, the PCC must transfer an amount required to meet the deficit to the pension fund.  Subject to parliamentary scrutiny and approval, this cost is met by a central government Police Pensions Payments grant.  </w:t>
      </w:r>
    </w:p>
    <w:p w14:paraId="2A202397" w14:textId="77777777" w:rsidR="00E04ADA" w:rsidRPr="005B7F57" w:rsidRDefault="00E04ADA" w:rsidP="005B7F57">
      <w:pPr>
        <w:ind w:left="709"/>
      </w:pPr>
      <w:r w:rsidRPr="005B7F57">
        <w:t>The principal risks to the authority of the scheme are the longevity assumptions, statutory changes to the scheme, structural changes to the scheme (</w:t>
      </w:r>
      <w:proofErr w:type="gramStart"/>
      <w:r w:rsidRPr="005B7F57">
        <w:t>i.e.</w:t>
      </w:r>
      <w:proofErr w:type="gramEnd"/>
      <w:r w:rsidRPr="005B7F57">
        <w:t xml:space="preserve"> large-scale withdrawals from the scheme), changes to inflation, bond yields and the performance of the equity investments held by the scheme.  These are mitigated to a certain extent by the statutory requirements to charge to the General Fund the amounts required by statute as described in the accounting policies note.  </w:t>
      </w:r>
    </w:p>
    <w:p w14:paraId="2E021047" w14:textId="77777777" w:rsidR="00E04ADA" w:rsidRPr="00E04ADA" w:rsidRDefault="00E04ADA" w:rsidP="007E1A23">
      <w:pPr>
        <w:pStyle w:val="Heading2"/>
        <w:numPr>
          <w:ilvl w:val="1"/>
          <w:numId w:val="4"/>
        </w:numPr>
        <w:tabs>
          <w:tab w:val="left" w:pos="567"/>
          <w:tab w:val="left" w:pos="993"/>
        </w:tabs>
        <w:ind w:left="567" w:hanging="283"/>
        <w:rPr>
          <w:rFonts w:eastAsiaTheme="minorHAnsi"/>
          <w:lang w:val="en"/>
        </w:rPr>
      </w:pPr>
      <w:bookmarkStart w:id="396" w:name="_Toc426634976"/>
      <w:bookmarkStart w:id="397" w:name="_Toc42196186"/>
      <w:bookmarkStart w:id="398" w:name="_Toc42205082"/>
      <w:bookmarkStart w:id="399" w:name="_Toc42271434"/>
      <w:bookmarkStart w:id="400" w:name="_Toc42272200"/>
      <w:bookmarkStart w:id="401" w:name="_Toc72330226"/>
      <w:bookmarkStart w:id="402" w:name="_Toc72334880"/>
      <w:bookmarkStart w:id="403" w:name="_Toc144279324"/>
      <w:r w:rsidRPr="00E04ADA">
        <w:t>Discretionary</w:t>
      </w:r>
      <w:r w:rsidRPr="00E04ADA">
        <w:rPr>
          <w:rFonts w:eastAsiaTheme="minorHAnsi"/>
          <w:lang w:val="en"/>
        </w:rPr>
        <w:t xml:space="preserve"> Post-Retirement Benefits</w:t>
      </w:r>
      <w:bookmarkEnd w:id="396"/>
      <w:bookmarkEnd w:id="397"/>
      <w:bookmarkEnd w:id="398"/>
      <w:bookmarkEnd w:id="399"/>
      <w:bookmarkEnd w:id="400"/>
      <w:bookmarkEnd w:id="401"/>
      <w:bookmarkEnd w:id="402"/>
      <w:bookmarkEnd w:id="403"/>
    </w:p>
    <w:p w14:paraId="20374504" w14:textId="77777777" w:rsidR="00E04ADA" w:rsidRPr="0028154E" w:rsidRDefault="00E04ADA" w:rsidP="00E04ADA">
      <w:pPr>
        <w:ind w:left="284"/>
        <w:rPr>
          <w:rFonts w:eastAsia="MS Mincho" w:cs="Arial"/>
          <w:color w:val="auto"/>
        </w:rPr>
      </w:pPr>
      <w:r w:rsidRPr="0028154E">
        <w:rPr>
          <w:rFonts w:eastAsia="MS Mincho" w:cs="Arial"/>
          <w:color w:val="auto"/>
        </w:rPr>
        <w:t xml:space="preserve">Discretionary post-retirement benefits on early retirement are an unfunded defined benefit arrangement, under which liabilities are recognised when awards are made.  There are no scheme assets built up to meet these pension liabilities.  </w:t>
      </w:r>
    </w:p>
    <w:p w14:paraId="035F8066" w14:textId="77777777" w:rsidR="00E04ADA" w:rsidRPr="0028154E" w:rsidRDefault="00E04ADA" w:rsidP="007E1A23">
      <w:pPr>
        <w:pStyle w:val="Heading2"/>
        <w:numPr>
          <w:ilvl w:val="1"/>
          <w:numId w:val="4"/>
        </w:numPr>
        <w:tabs>
          <w:tab w:val="left" w:pos="567"/>
          <w:tab w:val="left" w:pos="993"/>
        </w:tabs>
        <w:ind w:left="567" w:hanging="283"/>
        <w:rPr>
          <w:rFonts w:eastAsia="MS Mincho" w:cs="Arial"/>
        </w:rPr>
      </w:pPr>
      <w:bookmarkStart w:id="404" w:name="_Toc426634977"/>
      <w:bookmarkStart w:id="405" w:name="_Toc42196187"/>
      <w:bookmarkStart w:id="406" w:name="_Toc42205083"/>
      <w:bookmarkStart w:id="407" w:name="_Toc42271435"/>
      <w:bookmarkStart w:id="408" w:name="_Toc42272201"/>
      <w:bookmarkStart w:id="409" w:name="_Toc72330227"/>
      <w:bookmarkStart w:id="410" w:name="_Toc72334881"/>
      <w:bookmarkStart w:id="411" w:name="_Toc144279325"/>
      <w:r w:rsidRPr="0028154E">
        <w:rPr>
          <w:rFonts w:eastAsia="MS Mincho" w:cs="Arial"/>
        </w:rPr>
        <w:t>Transactions Relating to Retirement Benefits</w:t>
      </w:r>
      <w:bookmarkEnd w:id="404"/>
      <w:bookmarkEnd w:id="405"/>
      <w:bookmarkEnd w:id="406"/>
      <w:bookmarkEnd w:id="407"/>
      <w:bookmarkEnd w:id="408"/>
      <w:bookmarkEnd w:id="409"/>
      <w:bookmarkEnd w:id="410"/>
      <w:bookmarkEnd w:id="411"/>
    </w:p>
    <w:p w14:paraId="01CD89A6" w14:textId="77777777" w:rsidR="000C0F81" w:rsidRDefault="00E04ADA" w:rsidP="00E04ADA">
      <w:pPr>
        <w:ind w:left="284"/>
        <w:rPr>
          <w:rFonts w:eastAsia="MS Mincho" w:cs="Arial"/>
          <w:color w:val="auto"/>
        </w:rPr>
      </w:pPr>
      <w:proofErr w:type="gramStart"/>
      <w:r w:rsidRPr="0028154E">
        <w:rPr>
          <w:rFonts w:eastAsia="MS Mincho" w:cs="Arial"/>
          <w:color w:val="auto"/>
        </w:rPr>
        <w:t>In order to</w:t>
      </w:r>
      <w:proofErr w:type="gramEnd"/>
      <w:r w:rsidRPr="0028154E">
        <w:rPr>
          <w:rFonts w:eastAsia="MS Mincho" w:cs="Arial"/>
          <w:color w:val="auto"/>
        </w:rPr>
        <w:t xml:space="preserve"> comply with IAS 19, employer’s pension contributions have been replaced with current service costs as estimated by the independent actuar</w:t>
      </w:r>
      <w:r w:rsidR="00E234F9">
        <w:rPr>
          <w:rFonts w:eastAsia="MS Mincho" w:cs="Arial"/>
          <w:color w:val="auto"/>
        </w:rPr>
        <w:t>ies</w:t>
      </w:r>
      <w:r w:rsidRPr="0028154E">
        <w:rPr>
          <w:rFonts w:eastAsia="MS Mincho" w:cs="Arial"/>
          <w:color w:val="auto"/>
        </w:rPr>
        <w:t>.  The PCC Group recognises the cost of retirement benefits in the Cost of Services when they are earned by employees, rather than when the benefits are eventually paid as pensions.  However, the charge the PCC Group is required to make against council tax is based on the cash payable in the year, so the real cost of retirement benefits is reversed out in the Movement in Reserves Statement.  The reversal of the IAS 19 transactions ensures that there is no effect on the amounts to be met from government grant and the local taxpayers.</w:t>
      </w:r>
    </w:p>
    <w:p w14:paraId="45264872" w14:textId="77777777" w:rsidR="000C0F81" w:rsidRDefault="000C0F81">
      <w:pPr>
        <w:spacing w:before="0" w:after="200" w:line="276" w:lineRule="auto"/>
        <w:ind w:left="0"/>
        <w:jc w:val="left"/>
        <w:rPr>
          <w:rFonts w:eastAsia="MS Mincho" w:cs="Arial"/>
          <w:color w:val="auto"/>
        </w:rPr>
      </w:pPr>
      <w:r>
        <w:rPr>
          <w:rFonts w:eastAsia="MS Mincho" w:cs="Arial"/>
          <w:color w:val="auto"/>
        </w:rPr>
        <w:br w:type="page"/>
      </w:r>
    </w:p>
    <w:p w14:paraId="68B61E85" w14:textId="77777777" w:rsidR="000C0F81" w:rsidRPr="0028154E" w:rsidRDefault="000C0F81" w:rsidP="007E1A23">
      <w:pPr>
        <w:pStyle w:val="Heading2"/>
        <w:numPr>
          <w:ilvl w:val="1"/>
          <w:numId w:val="4"/>
        </w:numPr>
        <w:tabs>
          <w:tab w:val="left" w:pos="567"/>
          <w:tab w:val="left" w:pos="993"/>
        </w:tabs>
        <w:ind w:left="709" w:hanging="425"/>
        <w:rPr>
          <w:rFonts w:eastAsia="MS Mincho" w:cs="Arial"/>
        </w:rPr>
      </w:pPr>
      <w:bookmarkStart w:id="412" w:name="_Toc42271436"/>
      <w:bookmarkStart w:id="413" w:name="_Toc42272202"/>
      <w:bookmarkStart w:id="414" w:name="_Toc72330228"/>
      <w:bookmarkStart w:id="415" w:name="_Toc72334882"/>
      <w:bookmarkStart w:id="416" w:name="_Toc144279326"/>
      <w:r w:rsidRPr="0028154E">
        <w:rPr>
          <w:rFonts w:eastAsia="MS Mincho" w:cs="Arial"/>
        </w:rPr>
        <w:lastRenderedPageBreak/>
        <w:t>Transactions Relating to Retirement Benefits</w:t>
      </w:r>
      <w:bookmarkEnd w:id="412"/>
      <w:bookmarkEnd w:id="413"/>
      <w:bookmarkEnd w:id="414"/>
      <w:bookmarkEnd w:id="415"/>
      <w:bookmarkEnd w:id="416"/>
    </w:p>
    <w:p w14:paraId="2DBDD4BF" w14:textId="7ABE548D" w:rsidR="00257075" w:rsidRDefault="00333899" w:rsidP="00754431">
      <w:pPr>
        <w:pStyle w:val="ListParagraph"/>
        <w:ind w:left="284"/>
        <w:rPr>
          <w:noProof/>
          <w:lang w:eastAsia="en-GB"/>
        </w:rPr>
      </w:pPr>
      <w:bookmarkStart w:id="417" w:name="RtmntBens22"/>
      <w:r w:rsidRPr="00333899">
        <w:rPr>
          <w:noProof/>
        </w:rPr>
        <w:drawing>
          <wp:inline distT="0" distB="0" distL="0" distR="0" wp14:anchorId="64929202" wp14:editId="1C584EA2">
            <wp:extent cx="5731510" cy="4665345"/>
            <wp:effectExtent l="0" t="0" r="254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4665345"/>
                    </a:xfrm>
                    <a:prstGeom prst="rect">
                      <a:avLst/>
                    </a:prstGeom>
                    <a:noFill/>
                    <a:ln>
                      <a:noFill/>
                    </a:ln>
                  </pic:spPr>
                </pic:pic>
              </a:graphicData>
            </a:graphic>
          </wp:inline>
        </w:drawing>
      </w:r>
    </w:p>
    <w:p w14:paraId="66976399" w14:textId="77777777" w:rsidR="00CB588B" w:rsidRDefault="00CB588B" w:rsidP="000C0F81">
      <w:pPr>
        <w:ind w:left="284"/>
      </w:pPr>
    </w:p>
    <w:p w14:paraId="58D4D7F8" w14:textId="77777777" w:rsidR="00CB588B" w:rsidRDefault="00CB588B" w:rsidP="000C0F81">
      <w:pPr>
        <w:ind w:left="284"/>
        <w:sectPr w:rsidR="00CB588B" w:rsidSect="00D80E43">
          <w:pgSz w:w="11906" w:h="16838"/>
          <w:pgMar w:top="1440" w:right="1440" w:bottom="1440" w:left="1440" w:header="708" w:footer="708" w:gutter="0"/>
          <w:cols w:space="708"/>
          <w:docGrid w:linePitch="360"/>
        </w:sectPr>
      </w:pPr>
    </w:p>
    <w:p w14:paraId="786E3ACE" w14:textId="77777777" w:rsidR="00243C9B" w:rsidRPr="008438E4" w:rsidRDefault="00243C9B" w:rsidP="007E1A23">
      <w:pPr>
        <w:pStyle w:val="Heading2"/>
        <w:numPr>
          <w:ilvl w:val="1"/>
          <w:numId w:val="4"/>
        </w:numPr>
        <w:tabs>
          <w:tab w:val="left" w:pos="567"/>
          <w:tab w:val="left" w:pos="993"/>
        </w:tabs>
        <w:ind w:left="567" w:hanging="283"/>
      </w:pPr>
      <w:bookmarkStart w:id="418" w:name="_Toc426634978"/>
      <w:bookmarkStart w:id="419" w:name="_Toc42196189"/>
      <w:bookmarkStart w:id="420" w:name="_Toc42205085"/>
      <w:bookmarkStart w:id="421" w:name="_Toc42271437"/>
      <w:bookmarkStart w:id="422" w:name="_Toc42272203"/>
      <w:bookmarkStart w:id="423" w:name="_Toc72330229"/>
      <w:bookmarkStart w:id="424" w:name="_Toc72334883"/>
      <w:bookmarkStart w:id="425" w:name="_Toc144279327"/>
      <w:bookmarkEnd w:id="417"/>
      <w:r w:rsidRPr="00C631AF">
        <w:lastRenderedPageBreak/>
        <w:t>Pensions Assets and Liabilities in relation to Retirement Benefits</w:t>
      </w:r>
      <w:bookmarkEnd w:id="418"/>
      <w:bookmarkEnd w:id="419"/>
      <w:bookmarkEnd w:id="420"/>
      <w:bookmarkEnd w:id="421"/>
      <w:bookmarkEnd w:id="422"/>
      <w:bookmarkEnd w:id="423"/>
      <w:bookmarkEnd w:id="424"/>
      <w:bookmarkEnd w:id="425"/>
    </w:p>
    <w:p w14:paraId="37D2D863" w14:textId="77777777" w:rsidR="00243C9B" w:rsidRDefault="00243C9B" w:rsidP="00243C9B">
      <w:pPr>
        <w:ind w:left="284"/>
      </w:pPr>
      <w:r w:rsidRPr="00566C00">
        <w:t xml:space="preserve">The </w:t>
      </w:r>
      <w:r w:rsidRPr="00064C9F">
        <w:t>amount included in the Balance Sheet arising from the PCC Group’s obligation in respect of its defined benefit schemes is as follows:</w:t>
      </w:r>
    </w:p>
    <w:p w14:paraId="2EC42901" w14:textId="5F056B38" w:rsidR="00257075" w:rsidRDefault="00333899" w:rsidP="00243C9B">
      <w:pPr>
        <w:ind w:left="284"/>
      </w:pPr>
      <w:r w:rsidRPr="00333899">
        <w:rPr>
          <w:noProof/>
        </w:rPr>
        <w:drawing>
          <wp:inline distT="0" distB="0" distL="0" distR="0" wp14:anchorId="438690F8" wp14:editId="61BCE9AB">
            <wp:extent cx="3381375" cy="16192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81375" cy="1619250"/>
                    </a:xfrm>
                    <a:prstGeom prst="rect">
                      <a:avLst/>
                    </a:prstGeom>
                    <a:noFill/>
                    <a:ln>
                      <a:noFill/>
                    </a:ln>
                  </pic:spPr>
                </pic:pic>
              </a:graphicData>
            </a:graphic>
          </wp:inline>
        </w:drawing>
      </w:r>
    </w:p>
    <w:p w14:paraId="3665D971" w14:textId="639709F5" w:rsidR="00257075" w:rsidRDefault="00333899" w:rsidP="00243C9B">
      <w:pPr>
        <w:ind w:left="284"/>
      </w:pPr>
      <w:r w:rsidRPr="00333899">
        <w:rPr>
          <w:noProof/>
        </w:rPr>
        <w:drawing>
          <wp:inline distT="0" distB="0" distL="0" distR="0" wp14:anchorId="0D20634B" wp14:editId="2C258705">
            <wp:extent cx="3619500" cy="16192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19500" cy="1619250"/>
                    </a:xfrm>
                    <a:prstGeom prst="rect">
                      <a:avLst/>
                    </a:prstGeom>
                    <a:noFill/>
                    <a:ln>
                      <a:noFill/>
                    </a:ln>
                  </pic:spPr>
                </pic:pic>
              </a:graphicData>
            </a:graphic>
          </wp:inline>
        </w:drawing>
      </w:r>
    </w:p>
    <w:p w14:paraId="7C5381DD" w14:textId="77777777" w:rsidR="00243C9B" w:rsidRDefault="00243C9B" w:rsidP="007E1A23">
      <w:pPr>
        <w:pStyle w:val="Heading2"/>
        <w:numPr>
          <w:ilvl w:val="1"/>
          <w:numId w:val="4"/>
        </w:numPr>
        <w:tabs>
          <w:tab w:val="left" w:pos="567"/>
          <w:tab w:val="left" w:pos="993"/>
        </w:tabs>
        <w:ind w:left="567" w:hanging="283"/>
      </w:pPr>
      <w:bookmarkStart w:id="426" w:name="_Toc426634979"/>
      <w:bookmarkStart w:id="427" w:name="_Toc42196190"/>
      <w:bookmarkStart w:id="428" w:name="_Toc42205086"/>
      <w:bookmarkStart w:id="429" w:name="_Toc42271438"/>
      <w:bookmarkStart w:id="430" w:name="_Toc42272204"/>
      <w:bookmarkStart w:id="431" w:name="_Toc72330230"/>
      <w:bookmarkStart w:id="432" w:name="_Toc72334884"/>
      <w:bookmarkStart w:id="433" w:name="_Toc144279328"/>
      <w:r w:rsidRPr="00064C9F">
        <w:t xml:space="preserve">Reconciliation </w:t>
      </w:r>
      <w:r w:rsidRPr="00C631AF">
        <w:t>of the movements in the Fair Value of the scheme assets</w:t>
      </w:r>
      <w:bookmarkEnd w:id="426"/>
      <w:bookmarkEnd w:id="427"/>
      <w:bookmarkEnd w:id="428"/>
      <w:bookmarkEnd w:id="429"/>
      <w:bookmarkEnd w:id="430"/>
      <w:bookmarkEnd w:id="431"/>
      <w:bookmarkEnd w:id="432"/>
      <w:bookmarkEnd w:id="433"/>
    </w:p>
    <w:p w14:paraId="2AA9F5DF" w14:textId="0F66BFAA" w:rsidR="00243C9B" w:rsidRDefault="00333899" w:rsidP="00754431">
      <w:pPr>
        <w:pStyle w:val="ListParagraph"/>
        <w:ind w:left="284"/>
      </w:pPr>
      <w:r w:rsidRPr="00333899">
        <w:rPr>
          <w:noProof/>
        </w:rPr>
        <w:drawing>
          <wp:inline distT="0" distB="0" distL="0" distR="0" wp14:anchorId="725A904D" wp14:editId="0E21E53E">
            <wp:extent cx="3848100" cy="28194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48100" cy="2819400"/>
                    </a:xfrm>
                    <a:prstGeom prst="rect">
                      <a:avLst/>
                    </a:prstGeom>
                    <a:noFill/>
                    <a:ln>
                      <a:noFill/>
                    </a:ln>
                  </pic:spPr>
                </pic:pic>
              </a:graphicData>
            </a:graphic>
          </wp:inline>
        </w:drawing>
      </w:r>
    </w:p>
    <w:p w14:paraId="554A25C8" w14:textId="77777777" w:rsidR="00243C9B" w:rsidRPr="00064C9F" w:rsidRDefault="00243C9B" w:rsidP="007E1A23">
      <w:pPr>
        <w:pStyle w:val="Heading2"/>
        <w:numPr>
          <w:ilvl w:val="1"/>
          <w:numId w:val="4"/>
        </w:numPr>
        <w:tabs>
          <w:tab w:val="left" w:pos="284"/>
          <w:tab w:val="left" w:pos="993"/>
        </w:tabs>
        <w:ind w:left="284" w:firstLine="0"/>
      </w:pPr>
      <w:bookmarkStart w:id="434" w:name="_Toc42196191"/>
      <w:bookmarkStart w:id="435" w:name="_Toc42205087"/>
      <w:bookmarkStart w:id="436" w:name="_Toc42271439"/>
      <w:bookmarkStart w:id="437" w:name="_Toc42272205"/>
      <w:bookmarkStart w:id="438" w:name="_Toc72330231"/>
      <w:bookmarkStart w:id="439" w:name="_Toc72334885"/>
      <w:bookmarkStart w:id="440" w:name="_Toc144279329"/>
      <w:r w:rsidRPr="00064C9F">
        <w:lastRenderedPageBreak/>
        <w:t>Reconciliation of Present Value of the sche</w:t>
      </w:r>
      <w:r w:rsidR="00F4486D">
        <w:t xml:space="preserve">me liabilities (defined benefit </w:t>
      </w:r>
      <w:r w:rsidRPr="00064C9F">
        <w:t>obligation)</w:t>
      </w:r>
      <w:bookmarkEnd w:id="434"/>
      <w:bookmarkEnd w:id="435"/>
      <w:bookmarkEnd w:id="436"/>
      <w:bookmarkEnd w:id="437"/>
      <w:bookmarkEnd w:id="438"/>
      <w:bookmarkEnd w:id="439"/>
      <w:bookmarkEnd w:id="440"/>
      <w:r w:rsidRPr="00064C9F">
        <w:t xml:space="preserve"> </w:t>
      </w:r>
    </w:p>
    <w:p w14:paraId="18984539" w14:textId="19F8A580" w:rsidR="00243C9B" w:rsidRDefault="00333899" w:rsidP="00754431">
      <w:pPr>
        <w:pStyle w:val="ListParagraph"/>
        <w:ind w:left="142"/>
      </w:pPr>
      <w:r w:rsidRPr="00333899">
        <w:rPr>
          <w:noProof/>
        </w:rPr>
        <w:drawing>
          <wp:inline distT="0" distB="0" distL="0" distR="0" wp14:anchorId="5B587C09" wp14:editId="1A90CFA8">
            <wp:extent cx="4171950" cy="32480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71950" cy="3248025"/>
                    </a:xfrm>
                    <a:prstGeom prst="rect">
                      <a:avLst/>
                    </a:prstGeom>
                    <a:noFill/>
                    <a:ln>
                      <a:noFill/>
                    </a:ln>
                  </pic:spPr>
                </pic:pic>
              </a:graphicData>
            </a:graphic>
          </wp:inline>
        </w:drawing>
      </w:r>
    </w:p>
    <w:p w14:paraId="24A44DD6" w14:textId="6848C956" w:rsidR="005A5058" w:rsidRDefault="00333899" w:rsidP="00754431">
      <w:pPr>
        <w:ind w:left="0" w:firstLine="142"/>
      </w:pPr>
      <w:r w:rsidRPr="00333899">
        <w:rPr>
          <w:noProof/>
        </w:rPr>
        <w:drawing>
          <wp:inline distT="0" distB="0" distL="0" distR="0" wp14:anchorId="07280122" wp14:editId="07154D83">
            <wp:extent cx="4276725" cy="345583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80111" cy="3458573"/>
                    </a:xfrm>
                    <a:prstGeom prst="rect">
                      <a:avLst/>
                    </a:prstGeom>
                    <a:noFill/>
                    <a:ln>
                      <a:noFill/>
                    </a:ln>
                  </pic:spPr>
                </pic:pic>
              </a:graphicData>
            </a:graphic>
          </wp:inline>
        </w:drawing>
      </w:r>
    </w:p>
    <w:p w14:paraId="4E4AD213" w14:textId="77777777" w:rsidR="005A5058" w:rsidRDefault="005A5058">
      <w:pPr>
        <w:spacing w:before="0" w:after="200" w:line="276" w:lineRule="auto"/>
        <w:ind w:left="0"/>
        <w:jc w:val="left"/>
      </w:pPr>
      <w:r>
        <w:br w:type="page"/>
      </w:r>
    </w:p>
    <w:p w14:paraId="2769F9BF" w14:textId="77777777" w:rsidR="00243C9B" w:rsidRDefault="00243C9B" w:rsidP="007E1A23">
      <w:pPr>
        <w:pStyle w:val="Heading2"/>
        <w:numPr>
          <w:ilvl w:val="1"/>
          <w:numId w:val="4"/>
        </w:numPr>
        <w:tabs>
          <w:tab w:val="left" w:pos="567"/>
          <w:tab w:val="left" w:pos="993"/>
        </w:tabs>
        <w:ind w:left="567" w:hanging="283"/>
      </w:pPr>
      <w:bookmarkStart w:id="441" w:name="_Toc426634980"/>
      <w:bookmarkStart w:id="442" w:name="_Toc42196192"/>
      <w:bookmarkStart w:id="443" w:name="_Toc42205088"/>
      <w:bookmarkStart w:id="444" w:name="_Toc42271440"/>
      <w:bookmarkStart w:id="445" w:name="_Toc42272206"/>
      <w:bookmarkStart w:id="446" w:name="_Toc72330232"/>
      <w:bookmarkStart w:id="447" w:name="_Toc72334886"/>
      <w:bookmarkStart w:id="448" w:name="_Toc144279330"/>
      <w:r w:rsidRPr="00064C9F">
        <w:lastRenderedPageBreak/>
        <w:t xml:space="preserve">Pension </w:t>
      </w:r>
      <w:r w:rsidRPr="00C631AF">
        <w:t>scheme assets</w:t>
      </w:r>
      <w:bookmarkEnd w:id="441"/>
      <w:bookmarkEnd w:id="442"/>
      <w:bookmarkEnd w:id="443"/>
      <w:bookmarkEnd w:id="444"/>
      <w:bookmarkEnd w:id="445"/>
      <w:bookmarkEnd w:id="446"/>
      <w:bookmarkEnd w:id="447"/>
      <w:bookmarkEnd w:id="448"/>
    </w:p>
    <w:p w14:paraId="279EDBDF" w14:textId="77777777" w:rsidR="00243C9B" w:rsidRDefault="00243C9B" w:rsidP="00243C9B">
      <w:pPr>
        <w:ind w:left="284"/>
      </w:pPr>
      <w:r w:rsidRPr="00566C00">
        <w:t>The Police Pension Schemes are unfunded in nature a</w:t>
      </w:r>
      <w:r>
        <w:t xml:space="preserve">nd hence have no scheme assets.  </w:t>
      </w:r>
      <w:r w:rsidRPr="00566C00">
        <w:t>The PCC Group’s Local Government Pension Scheme assets consist of the following categories:</w:t>
      </w:r>
    </w:p>
    <w:p w14:paraId="1465B86E" w14:textId="481B5297" w:rsidR="00243C9B" w:rsidRDefault="00333899" w:rsidP="005A5058">
      <w:pPr>
        <w:ind w:left="284"/>
      </w:pPr>
      <w:r w:rsidRPr="00333899">
        <w:rPr>
          <w:noProof/>
        </w:rPr>
        <w:drawing>
          <wp:inline distT="0" distB="0" distL="0" distR="0" wp14:anchorId="721093FD" wp14:editId="21CBDE47">
            <wp:extent cx="5419725" cy="669607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19725" cy="6696075"/>
                    </a:xfrm>
                    <a:prstGeom prst="rect">
                      <a:avLst/>
                    </a:prstGeom>
                    <a:noFill/>
                    <a:ln>
                      <a:noFill/>
                    </a:ln>
                  </pic:spPr>
                </pic:pic>
              </a:graphicData>
            </a:graphic>
          </wp:inline>
        </w:drawing>
      </w:r>
    </w:p>
    <w:p w14:paraId="1D611334" w14:textId="77777777" w:rsidR="00243C9B" w:rsidRDefault="00243C9B" w:rsidP="007E1A23">
      <w:pPr>
        <w:pStyle w:val="Heading2"/>
        <w:numPr>
          <w:ilvl w:val="1"/>
          <w:numId w:val="4"/>
        </w:numPr>
        <w:tabs>
          <w:tab w:val="left" w:pos="567"/>
          <w:tab w:val="left" w:pos="993"/>
        </w:tabs>
        <w:ind w:left="567" w:hanging="283"/>
      </w:pPr>
      <w:bookmarkStart w:id="449" w:name="_Toc42196193"/>
      <w:bookmarkStart w:id="450" w:name="_Toc42205089"/>
      <w:bookmarkStart w:id="451" w:name="_Toc42271441"/>
      <w:bookmarkStart w:id="452" w:name="_Toc42272207"/>
      <w:bookmarkStart w:id="453" w:name="_Toc72330233"/>
      <w:bookmarkStart w:id="454" w:name="_Toc72334887"/>
      <w:bookmarkStart w:id="455" w:name="_Toc144279331"/>
      <w:r w:rsidRPr="00064C9F">
        <w:t xml:space="preserve">Basis for </w:t>
      </w:r>
      <w:r w:rsidRPr="00B84AB7">
        <w:t xml:space="preserve">estimating assets and </w:t>
      </w:r>
      <w:proofErr w:type="gramStart"/>
      <w:r w:rsidRPr="00B84AB7">
        <w:t>liabilities</w:t>
      </w:r>
      <w:bookmarkEnd w:id="449"/>
      <w:bookmarkEnd w:id="450"/>
      <w:bookmarkEnd w:id="451"/>
      <w:bookmarkEnd w:id="452"/>
      <w:bookmarkEnd w:id="453"/>
      <w:bookmarkEnd w:id="454"/>
      <w:bookmarkEnd w:id="455"/>
      <w:proofErr w:type="gramEnd"/>
    </w:p>
    <w:p w14:paraId="302A710E" w14:textId="77777777" w:rsidR="00243C9B" w:rsidRPr="00975F7F" w:rsidRDefault="00E234F9" w:rsidP="00243C9B">
      <w:pPr>
        <w:ind w:left="284"/>
      </w:pPr>
      <w:r w:rsidRPr="00E234F9">
        <w:t xml:space="preserve">The Police Pension Scheme has been assessed by Hymans Robertson (an independent firm of actuaries).  The Local Government Pension Scheme has been assessed by Barnett Waddingham (an independent firm of actuaries).  The value of the liabilities is an estimate </w:t>
      </w:r>
      <w:r w:rsidRPr="00E234F9">
        <w:lastRenderedPageBreak/>
        <w:t>of the pensions that will be payable in future years dependent on assumptions about uncertain variables.</w:t>
      </w:r>
      <w:r w:rsidR="00243C9B" w:rsidRPr="00975F7F">
        <w:t xml:space="preserve">  </w:t>
      </w:r>
    </w:p>
    <w:p w14:paraId="674004A5" w14:textId="77777777" w:rsidR="00243C9B" w:rsidRPr="00975F7F" w:rsidRDefault="00243C9B" w:rsidP="00243C9B">
      <w:pPr>
        <w:ind w:left="284"/>
      </w:pPr>
      <w:r w:rsidRPr="00975F7F">
        <w:t>For the Local Government Pension Scheme, liabilities have been assessed on an actuarial basis using the projected unit method.  Estimates are based on the latest full</w:t>
      </w:r>
      <w:r>
        <w:t xml:space="preserve"> valuation of the scheme as </w:t>
      </w:r>
      <w:proofErr w:type="gramStart"/>
      <w:r>
        <w:t>at</w:t>
      </w:r>
      <w:proofErr w:type="gramEnd"/>
      <w:r>
        <w:t xml:space="preserve"> April 2019</w:t>
      </w:r>
      <w:r w:rsidRPr="00975F7F">
        <w:t xml:space="preserve">.  </w:t>
      </w:r>
    </w:p>
    <w:p w14:paraId="1DFF10A0" w14:textId="77777777" w:rsidR="00243C9B" w:rsidRDefault="00243C9B" w:rsidP="00243C9B">
      <w:pPr>
        <w:ind w:left="284"/>
      </w:pPr>
      <w:r w:rsidRPr="00975F7F">
        <w:t>For the Police Pension Scheme liabilities have been assessed on an actuarial basis using the projected unit method.  The last formal valuation of the schemes was</w:t>
      </w:r>
      <w:r>
        <w:t xml:space="preserve"> carried out as </w:t>
      </w:r>
      <w:proofErr w:type="gramStart"/>
      <w:r>
        <w:t>at</w:t>
      </w:r>
      <w:proofErr w:type="gramEnd"/>
      <w:r>
        <w:t xml:space="preserve"> </w:t>
      </w:r>
      <w:r w:rsidRPr="005A5058">
        <w:t>31 March 20</w:t>
      </w:r>
      <w:r w:rsidR="00E234F9">
        <w:t>21</w:t>
      </w:r>
      <w:r w:rsidRPr="00975F7F">
        <w:t xml:space="preserve">.  </w:t>
      </w:r>
    </w:p>
    <w:p w14:paraId="5D2D8611" w14:textId="26BC9BBD" w:rsidR="00257075" w:rsidRDefault="00C63B99" w:rsidP="00243C9B">
      <w:pPr>
        <w:ind w:left="284"/>
      </w:pPr>
      <w:r w:rsidRPr="00C63B99">
        <w:rPr>
          <w:noProof/>
        </w:rPr>
        <w:drawing>
          <wp:inline distT="0" distB="0" distL="0" distR="0" wp14:anchorId="266B7E9B" wp14:editId="3CB93C4A">
            <wp:extent cx="5610225" cy="26670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0225" cy="2667000"/>
                    </a:xfrm>
                    <a:prstGeom prst="rect">
                      <a:avLst/>
                    </a:prstGeom>
                    <a:noFill/>
                    <a:ln>
                      <a:noFill/>
                    </a:ln>
                  </pic:spPr>
                </pic:pic>
              </a:graphicData>
            </a:graphic>
          </wp:inline>
        </w:drawing>
      </w:r>
      <w:r w:rsidRPr="00C63B99" w:rsidDel="00333899">
        <w:t xml:space="preserve"> </w:t>
      </w:r>
    </w:p>
    <w:p w14:paraId="367D2001" w14:textId="77777777" w:rsidR="00243C9B" w:rsidRPr="00A32D2E" w:rsidRDefault="00243C9B" w:rsidP="00243C9B">
      <w:pPr>
        <w:ind w:left="284"/>
      </w:pPr>
      <w:r w:rsidRPr="00064C9F">
        <w:t xml:space="preserve">The Local Government </w:t>
      </w:r>
      <w:r>
        <w:t xml:space="preserve">Pension Scheme longevity assumptions are as per the latest full valuation as </w:t>
      </w:r>
      <w:proofErr w:type="gramStart"/>
      <w:r>
        <w:t>at</w:t>
      </w:r>
      <w:proofErr w:type="gramEnd"/>
      <w:r>
        <w:t xml:space="preserve"> 31 March</w:t>
      </w:r>
      <w:r w:rsidR="00A6048F">
        <w:t xml:space="preserve"> 2021</w:t>
      </w:r>
      <w:r>
        <w:t>, the Police Pension Scheme longevity assumptions are remodelled annually in the actuarial review.</w:t>
      </w:r>
    </w:p>
    <w:p w14:paraId="79419A6E" w14:textId="77777777" w:rsidR="00243C9B" w:rsidRDefault="00243C9B" w:rsidP="00243C9B">
      <w:pPr>
        <w:ind w:left="284"/>
      </w:pPr>
      <w:r w:rsidRPr="00566C00">
        <w:t>The estimation of the defined benefit obligations is sensitive to the actuarial assumptions set out in the table above.</w:t>
      </w:r>
    </w:p>
    <w:p w14:paraId="64CE6685" w14:textId="77777777" w:rsidR="00243C9B" w:rsidRDefault="00243C9B" w:rsidP="007E1A23">
      <w:pPr>
        <w:pStyle w:val="Heading2"/>
        <w:numPr>
          <w:ilvl w:val="1"/>
          <w:numId w:val="4"/>
        </w:numPr>
        <w:tabs>
          <w:tab w:val="left" w:pos="567"/>
          <w:tab w:val="left" w:pos="993"/>
        </w:tabs>
        <w:ind w:left="567" w:hanging="283"/>
      </w:pPr>
      <w:bookmarkStart w:id="456" w:name="_Toc42196194"/>
      <w:bookmarkStart w:id="457" w:name="_Toc42205090"/>
      <w:bookmarkStart w:id="458" w:name="_Toc42271442"/>
      <w:bookmarkStart w:id="459" w:name="_Toc42272208"/>
      <w:bookmarkStart w:id="460" w:name="_Toc72330234"/>
      <w:bookmarkStart w:id="461" w:name="_Toc72334888"/>
      <w:bookmarkStart w:id="462" w:name="_Toc144279332"/>
      <w:r w:rsidRPr="00C631AF">
        <w:t>Present Value of Liabilities</w:t>
      </w:r>
      <w:bookmarkEnd w:id="456"/>
      <w:bookmarkEnd w:id="457"/>
      <w:bookmarkEnd w:id="458"/>
      <w:bookmarkEnd w:id="459"/>
      <w:bookmarkEnd w:id="460"/>
      <w:bookmarkEnd w:id="461"/>
      <w:bookmarkEnd w:id="462"/>
    </w:p>
    <w:p w14:paraId="5D3FE032" w14:textId="0FDAD760" w:rsidR="00243C9B" w:rsidRDefault="00333899" w:rsidP="00754431">
      <w:pPr>
        <w:pStyle w:val="ListParagraph"/>
        <w:ind w:left="142"/>
      </w:pPr>
      <w:r w:rsidRPr="00333899">
        <w:rPr>
          <w:noProof/>
        </w:rPr>
        <w:drawing>
          <wp:inline distT="0" distB="0" distL="0" distR="0" wp14:anchorId="1B0A8C11" wp14:editId="5C0CC0B3">
            <wp:extent cx="5731510" cy="1573530"/>
            <wp:effectExtent l="0" t="0" r="254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1510" cy="1573530"/>
                    </a:xfrm>
                    <a:prstGeom prst="rect">
                      <a:avLst/>
                    </a:prstGeom>
                    <a:noFill/>
                    <a:ln>
                      <a:noFill/>
                    </a:ln>
                  </pic:spPr>
                </pic:pic>
              </a:graphicData>
            </a:graphic>
          </wp:inline>
        </w:drawing>
      </w:r>
    </w:p>
    <w:p w14:paraId="7688BCDF" w14:textId="77777777" w:rsidR="00243C9B" w:rsidRPr="00EB4AE2" w:rsidRDefault="00243C9B" w:rsidP="007E1A23">
      <w:pPr>
        <w:pStyle w:val="Heading2"/>
        <w:numPr>
          <w:ilvl w:val="1"/>
          <w:numId w:val="4"/>
        </w:numPr>
        <w:tabs>
          <w:tab w:val="left" w:pos="567"/>
          <w:tab w:val="left" w:pos="993"/>
        </w:tabs>
        <w:ind w:left="567" w:hanging="283"/>
        <w:rPr>
          <w:rFonts w:eastAsia="MS Mincho" w:cs="Arial"/>
        </w:rPr>
      </w:pPr>
      <w:bookmarkStart w:id="463" w:name="_Toc42196195"/>
      <w:bookmarkStart w:id="464" w:name="_Toc42205091"/>
      <w:bookmarkStart w:id="465" w:name="_Toc42271443"/>
      <w:bookmarkStart w:id="466" w:name="_Toc42272209"/>
      <w:bookmarkStart w:id="467" w:name="_Toc72330235"/>
      <w:bookmarkStart w:id="468" w:name="_Toc72334889"/>
      <w:bookmarkStart w:id="469" w:name="_Toc144279333"/>
      <w:r w:rsidRPr="00EB4AE2">
        <w:rPr>
          <w:rFonts w:eastAsia="MS Mincho" w:cs="Arial"/>
        </w:rPr>
        <w:t>Impact on the PCC Group’s cash flows</w:t>
      </w:r>
      <w:bookmarkEnd w:id="463"/>
      <w:bookmarkEnd w:id="464"/>
      <w:bookmarkEnd w:id="465"/>
      <w:bookmarkEnd w:id="466"/>
      <w:bookmarkEnd w:id="467"/>
      <w:bookmarkEnd w:id="468"/>
      <w:bookmarkEnd w:id="469"/>
    </w:p>
    <w:p w14:paraId="76C2A7A0" w14:textId="77777777" w:rsidR="00243C9B" w:rsidRPr="00AA3EE1" w:rsidRDefault="00243C9B" w:rsidP="00243C9B">
      <w:pPr>
        <w:ind w:left="284"/>
      </w:pPr>
      <w:r w:rsidRPr="00064C9F">
        <w:t xml:space="preserve">The liabilities show the underlying </w:t>
      </w:r>
      <w:r w:rsidRPr="00AA3EE1">
        <w:t xml:space="preserve">commitments for retirement benefits that the PCC Group </w:t>
      </w:r>
      <w:proofErr w:type="gramStart"/>
      <w:r w:rsidRPr="00AA3EE1">
        <w:t>has to</w:t>
      </w:r>
      <w:proofErr w:type="gramEnd"/>
      <w:r w:rsidRPr="00AA3EE1">
        <w:t xml:space="preserve"> pay in the long run.  The total liability has a substantial impact on the net worth of the PCC Group as recorded in the Balance Sheet, resulting in a negative overall balance.  However, statutory arrangements for funding the deficit mean that the financial position of the PCC Group remains healthy.  </w:t>
      </w:r>
    </w:p>
    <w:p w14:paraId="24A5A5A1" w14:textId="77777777" w:rsidR="00243C9B" w:rsidRPr="00AA3EE1" w:rsidRDefault="00243C9B" w:rsidP="00243C9B">
      <w:pPr>
        <w:ind w:left="284"/>
      </w:pPr>
      <w:r w:rsidRPr="00AA3EE1">
        <w:lastRenderedPageBreak/>
        <w:t xml:space="preserve">The objectives of the local government scheme are to keep employers’ contributions at as constant a rate as possible.  The PCC Group has agreed a strategy with the scheme’s actuary to achieve a funding level of 100% over the next 20 years.  At the last triennial </w:t>
      </w:r>
      <w:proofErr w:type="gramStart"/>
      <w:r w:rsidRPr="00AA3EE1">
        <w:t>valuation</w:t>
      </w:r>
      <w:proofErr w:type="gramEnd"/>
      <w:r w:rsidRPr="00AA3EE1">
        <w:t xml:space="preserve"> it was agreed that in order to mitigate for the effect of fluctuations in membership numbers that a lump sum contribution towards meeting the deficit would also be paid alongside the percentage of pay contribution.  </w:t>
      </w:r>
    </w:p>
    <w:p w14:paraId="01CFD8C0" w14:textId="77777777" w:rsidR="00243C9B" w:rsidRPr="00AA3EE1" w:rsidRDefault="00243C9B" w:rsidP="00243C9B">
      <w:pPr>
        <w:ind w:left="284"/>
      </w:pPr>
      <w:r w:rsidRPr="00AA3EE1">
        <w:t xml:space="preserve">The minimum employer contributions payable over the next year for the PCC Group is </w:t>
      </w:r>
      <w:r w:rsidRPr="00AE001F">
        <w:t>16.3% plus a £1,</w:t>
      </w:r>
      <w:r w:rsidR="00CC1275">
        <w:t>657</w:t>
      </w:r>
      <w:r w:rsidRPr="00AE001F">
        <w:t xml:space="preserve">k lump sum payment.  Estimated </w:t>
      </w:r>
      <w:r w:rsidR="001C2BD3">
        <w:t>employer’s contribution for 2021</w:t>
      </w:r>
      <w:r w:rsidR="00CC1275">
        <w:t>/22</w:t>
      </w:r>
      <w:r w:rsidRPr="00AE001F">
        <w:t xml:space="preserve"> amount to £</w:t>
      </w:r>
      <w:r w:rsidR="00CC1275">
        <w:t>4.3</w:t>
      </w:r>
      <w:r w:rsidRPr="00AE001F">
        <w:t xml:space="preserve">m on </w:t>
      </w:r>
      <w:r w:rsidRPr="00AA3EE1">
        <w:t>the Local Government Pension Scheme.</w:t>
      </w:r>
    </w:p>
    <w:p w14:paraId="1DBAE743" w14:textId="77777777" w:rsidR="00243C9B" w:rsidRPr="00AA3EE1" w:rsidRDefault="00243C9B" w:rsidP="00243C9B">
      <w:pPr>
        <w:ind w:left="284"/>
      </w:pPr>
      <w:r w:rsidRPr="00AA3EE1">
        <w:t>Funding levels are monitored through the triennial valuation process and the last triennial v</w:t>
      </w:r>
      <w:r w:rsidR="001C2BD3">
        <w:t xml:space="preserve">aluation was as </w:t>
      </w:r>
      <w:proofErr w:type="gramStart"/>
      <w:r w:rsidR="001C2BD3">
        <w:t>at</w:t>
      </w:r>
      <w:proofErr w:type="gramEnd"/>
      <w:r w:rsidR="001C2BD3">
        <w:t xml:space="preserve"> 31 March 2019</w:t>
      </w:r>
      <w:r w:rsidRPr="00AA3EE1">
        <w:t xml:space="preserve">. </w:t>
      </w:r>
    </w:p>
    <w:p w14:paraId="72723CBD" w14:textId="609C82EA" w:rsidR="000B79E4" w:rsidRPr="00AA3EE1" w:rsidRDefault="000B79E4" w:rsidP="00243C9B">
      <w:pPr>
        <w:ind w:left="284"/>
      </w:pPr>
      <w:r w:rsidRPr="008B54D0">
        <w:t xml:space="preserve">For police pensions, the rate (%) at which employer contributions are made to the police pension fund is set by the Home Office.  An actuarial valuation during </w:t>
      </w:r>
      <w:r>
        <w:t>2019/20</w:t>
      </w:r>
      <w:r w:rsidRPr="008B54D0">
        <w:t xml:space="preserve"> resulted in a</w:t>
      </w:r>
      <w:r>
        <w:t>n increase</w:t>
      </w:r>
      <w:r w:rsidRPr="008B54D0">
        <w:t xml:space="preserve"> in the employers’ contribution rate from </w:t>
      </w:r>
      <w:r>
        <w:t>21.3% to 31%</w:t>
      </w:r>
      <w:r w:rsidRPr="008B54D0">
        <w:t xml:space="preserve"> from 1 April 201</w:t>
      </w:r>
      <w:r>
        <w:t>9</w:t>
      </w:r>
      <w:r w:rsidRPr="008B54D0">
        <w:t xml:space="preserve">. </w:t>
      </w:r>
    </w:p>
    <w:p w14:paraId="3513451F" w14:textId="77777777" w:rsidR="00C95C74" w:rsidRPr="008B54D0" w:rsidRDefault="00C95C74" w:rsidP="00754431">
      <w:pPr>
        <w:ind w:left="284"/>
      </w:pPr>
      <w:r w:rsidRPr="00055704">
        <w:t xml:space="preserve">Estimated employer contributions for 2021/22 at </w:t>
      </w:r>
      <w:r>
        <w:t>31</w:t>
      </w:r>
      <w:r w:rsidRPr="00055704">
        <w:t>% of pensionable pay amount to £</w:t>
      </w:r>
      <w:r>
        <w:t>16.5</w:t>
      </w:r>
      <w:r w:rsidRPr="00055704">
        <w:t>m.</w:t>
      </w:r>
    </w:p>
    <w:p w14:paraId="4EE40F10" w14:textId="77777777" w:rsidR="00243C9B" w:rsidRDefault="00243C9B" w:rsidP="00243C9B">
      <w:pPr>
        <w:ind w:left="284"/>
      </w:pPr>
      <w:r w:rsidRPr="00AA3EE1">
        <w:t>The Local Government Pension Scheme and the Police Pension Scheme take account of the national changes required under the Public Pensions Services Act 2013.  Under the Act, the main public service pension schemes may not provide benefits on a final salary basis in relation to service after 31 March 2015.  The Act provides for scheme regulations to be made within a common framework, to establish new, career average, revalued earnings schemes to pay pensions and other benefits to certain public servants.  For the Local Government Pension Scheme these changes came into operation on 1</w:t>
      </w:r>
      <w:r w:rsidRPr="00AA3EE1">
        <w:rPr>
          <w:vertAlign w:val="superscript"/>
        </w:rPr>
        <w:t xml:space="preserve"> </w:t>
      </w:r>
      <w:r w:rsidRPr="00AA3EE1">
        <w:t>April 2014 and for the Police scheme from 1 April 2015.</w:t>
      </w:r>
    </w:p>
    <w:p w14:paraId="1E22AD69" w14:textId="77777777" w:rsidR="00243C9B" w:rsidRDefault="00243C9B" w:rsidP="00243C9B">
      <w:pPr>
        <w:ind w:left="284"/>
      </w:pPr>
      <w:r w:rsidRPr="001261D7">
        <w:t>Maturity profile of the defined benefit obligation</w:t>
      </w:r>
      <w:r>
        <w:t>:</w:t>
      </w:r>
    </w:p>
    <w:p w14:paraId="33634B65" w14:textId="7F48AD12" w:rsidR="00257075" w:rsidRDefault="00333899" w:rsidP="00243C9B">
      <w:pPr>
        <w:ind w:left="284"/>
      </w:pPr>
      <w:r w:rsidRPr="00333899">
        <w:rPr>
          <w:noProof/>
        </w:rPr>
        <w:drawing>
          <wp:inline distT="0" distB="0" distL="0" distR="0" wp14:anchorId="00B07A34" wp14:editId="2B2B2ED8">
            <wp:extent cx="5295900" cy="28765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95900" cy="2876550"/>
                    </a:xfrm>
                    <a:prstGeom prst="rect">
                      <a:avLst/>
                    </a:prstGeom>
                    <a:noFill/>
                    <a:ln>
                      <a:noFill/>
                    </a:ln>
                  </pic:spPr>
                </pic:pic>
              </a:graphicData>
            </a:graphic>
          </wp:inline>
        </w:drawing>
      </w:r>
    </w:p>
    <w:p w14:paraId="035028A7" w14:textId="77777777" w:rsidR="00243C9B" w:rsidRPr="00275B6E" w:rsidRDefault="00243C9B" w:rsidP="007E1A23">
      <w:pPr>
        <w:pStyle w:val="Heading2"/>
        <w:numPr>
          <w:ilvl w:val="0"/>
          <w:numId w:val="4"/>
        </w:numPr>
        <w:tabs>
          <w:tab w:val="left" w:pos="426"/>
        </w:tabs>
        <w:ind w:left="284" w:hanging="284"/>
      </w:pPr>
      <w:bookmarkStart w:id="470" w:name="_Toc513709967"/>
      <w:bookmarkStart w:id="471" w:name="_Toc30600350"/>
      <w:bookmarkStart w:id="472" w:name="_Toc42205092"/>
      <w:bookmarkStart w:id="473" w:name="_Toc42271444"/>
      <w:bookmarkStart w:id="474" w:name="_Toc144279334"/>
      <w:bookmarkStart w:id="475" w:name="ContLiab44"/>
      <w:r w:rsidRPr="00275B6E">
        <w:t>Contingent Liabilities</w:t>
      </w:r>
      <w:bookmarkEnd w:id="470"/>
      <w:bookmarkEnd w:id="471"/>
      <w:bookmarkEnd w:id="472"/>
      <w:bookmarkEnd w:id="473"/>
      <w:bookmarkEnd w:id="474"/>
    </w:p>
    <w:bookmarkEnd w:id="475"/>
    <w:p w14:paraId="30EE7636" w14:textId="4DB142AA" w:rsidR="00BF505C" w:rsidRPr="00DA4EC2" w:rsidRDefault="005B7F57" w:rsidP="00BF505C">
      <w:pPr>
        <w:ind w:left="284"/>
      </w:pPr>
      <w:r>
        <w:t>There are three</w:t>
      </w:r>
      <w:r w:rsidR="00BF505C" w:rsidRPr="00DA4EC2">
        <w:t xml:space="preserve"> specific matters which currently ha</w:t>
      </w:r>
      <w:r w:rsidR="006D765D" w:rsidRPr="00DA4EC2">
        <w:t>ve</w:t>
      </w:r>
      <w:r w:rsidR="00BF505C" w:rsidRPr="00DA4EC2">
        <w:t xml:space="preserve"> the potential to impact the Force:</w:t>
      </w:r>
    </w:p>
    <w:p w14:paraId="4C4865C6" w14:textId="77777777" w:rsidR="005B7F57" w:rsidRPr="00270B7F" w:rsidRDefault="005B7F57" w:rsidP="005B7F57">
      <w:pPr>
        <w:numPr>
          <w:ilvl w:val="0"/>
          <w:numId w:val="6"/>
        </w:numPr>
        <w:ind w:left="709" w:hanging="284"/>
      </w:pPr>
      <w:r w:rsidRPr="00270B7F">
        <w:lastRenderedPageBreak/>
        <w:t xml:space="preserve">A national </w:t>
      </w:r>
      <w:r>
        <w:t>inquiry</w:t>
      </w:r>
      <w:r w:rsidRPr="00270B7F">
        <w:t xml:space="preserve"> </w:t>
      </w:r>
      <w:r>
        <w:t>into</w:t>
      </w:r>
      <w:r w:rsidRPr="00270B7F">
        <w:t xml:space="preserve"> Undercover Policing commenced in 2015 to ascertain the truth about Undercover Policing operations across England and Wales since 1968 and provide recommendations for the future. The review is wide ranging and could lead to individual legal claims submitted from officers for additional payments whilst working on undercover operations. The timescales an</w:t>
      </w:r>
      <w:r>
        <w:t xml:space="preserve">d values are at present </w:t>
      </w:r>
      <w:proofErr w:type="gramStart"/>
      <w:r>
        <w:t>unknown;</w:t>
      </w:r>
      <w:proofErr w:type="gramEnd"/>
    </w:p>
    <w:p w14:paraId="10753978" w14:textId="77777777" w:rsidR="005B7F57" w:rsidRDefault="005B7F57" w:rsidP="005B7F57">
      <w:pPr>
        <w:numPr>
          <w:ilvl w:val="0"/>
          <w:numId w:val="6"/>
        </w:numPr>
        <w:ind w:left="709" w:hanging="284"/>
      </w:pPr>
      <w:r>
        <w:t>The McCloud judgement relating to the Court of Appeal’s ruling that Government’s 2015 public sector pension reforms unlawfully treated existing public sectors differently based upon the members age on 1</w:t>
      </w:r>
      <w:r w:rsidRPr="00270B7F">
        <w:rPr>
          <w:vertAlign w:val="superscript"/>
        </w:rPr>
        <w:t>st</w:t>
      </w:r>
      <w:r>
        <w:t xml:space="preserve"> April 2012.  Currently 92 officers have sought redress against Lincolnshire Police for the unlawful treatment through a national coordinated legal claim.  The Government has accepted the validity of the claims and is looking for the Force to agree compensation settlements with the claimants for the distress caused by the issue.  At present both the timescales and settlement remain </w:t>
      </w:r>
      <w:proofErr w:type="gramStart"/>
      <w:r>
        <w:t>unclear;</w:t>
      </w:r>
      <w:proofErr w:type="gramEnd"/>
    </w:p>
    <w:p w14:paraId="7C2A7094" w14:textId="77777777" w:rsidR="005B7F57" w:rsidRDefault="005B7F57" w:rsidP="005B7F57">
      <w:pPr>
        <w:numPr>
          <w:ilvl w:val="0"/>
          <w:numId w:val="6"/>
        </w:numPr>
        <w:ind w:left="709" w:hanging="284"/>
      </w:pPr>
      <w:r>
        <w:t xml:space="preserve">The PCC took the decision in October 2020 not to take up the option to extend the G4S Strategic contract for a further five years.  The contract, which was worth in the region of £23m per year was to provide a wide range of operational and support functions to the Chief Constable.  Upon making the decision the Force set up the Future Service Programme to examine and implement the options for the future provision of the services once the contract concludes at the end of financial year 2021/22.  Despite the work undertaken to make the transition as smooth as possible there is potential risk for unknown costs to be incurred as services move back under Force control. </w:t>
      </w:r>
    </w:p>
    <w:p w14:paraId="529211EC" w14:textId="77777777" w:rsidR="00243C9B" w:rsidRPr="00275B6E" w:rsidRDefault="00243C9B" w:rsidP="007E1A23">
      <w:pPr>
        <w:pStyle w:val="Heading2"/>
        <w:numPr>
          <w:ilvl w:val="0"/>
          <w:numId w:val="4"/>
        </w:numPr>
        <w:tabs>
          <w:tab w:val="left" w:pos="426"/>
        </w:tabs>
        <w:ind w:left="284" w:hanging="284"/>
      </w:pPr>
      <w:bookmarkStart w:id="476" w:name="_Toc30600351"/>
      <w:bookmarkStart w:id="477" w:name="_Toc42205094"/>
      <w:bookmarkStart w:id="478" w:name="_Toc42271446"/>
      <w:bookmarkStart w:id="479" w:name="_Toc144279335"/>
      <w:r w:rsidRPr="00275B6E">
        <w:t>Accounting Standards Issued but Not Yet Adopted</w:t>
      </w:r>
      <w:bookmarkEnd w:id="476"/>
      <w:bookmarkEnd w:id="477"/>
      <w:bookmarkEnd w:id="478"/>
      <w:bookmarkEnd w:id="479"/>
    </w:p>
    <w:p w14:paraId="48C65FDA" w14:textId="77777777" w:rsidR="00243C9B" w:rsidRPr="00E23AD0" w:rsidRDefault="00243C9B" w:rsidP="00243C9B">
      <w:pPr>
        <w:ind w:left="0"/>
      </w:pPr>
      <w:r w:rsidRPr="008B01E9">
        <w:t xml:space="preserve">The following Accounting Standards may be </w:t>
      </w:r>
      <w:r>
        <w:t xml:space="preserve">relevant for additional disclosures that will </w:t>
      </w:r>
      <w:proofErr w:type="gramStart"/>
      <w:r w:rsidRPr="008B01E9">
        <w:t>required</w:t>
      </w:r>
      <w:proofErr w:type="gramEnd"/>
      <w:r w:rsidRPr="008B01E9">
        <w:t xml:space="preserve"> </w:t>
      </w:r>
      <w:r>
        <w:t>in the financial statements in respect of accounting changes in the Code:</w:t>
      </w:r>
      <w:r w:rsidRPr="008B01E9">
        <w:t xml:space="preserve"> </w:t>
      </w:r>
    </w:p>
    <w:p w14:paraId="7D581538" w14:textId="77777777" w:rsidR="00243C9B" w:rsidRPr="00BB3392" w:rsidRDefault="00640789" w:rsidP="00640789">
      <w:pPr>
        <w:numPr>
          <w:ilvl w:val="0"/>
          <w:numId w:val="6"/>
        </w:numPr>
        <w:ind w:left="426" w:hanging="284"/>
        <w:rPr>
          <w:rFonts w:eastAsia="Calibri" w:cs="Arial"/>
          <w:color w:val="auto"/>
          <w:lang w:val="en"/>
        </w:rPr>
      </w:pPr>
      <w:r w:rsidRPr="00640789">
        <w:rPr>
          <w:rFonts w:eastAsia="Calibri" w:cs="Arial"/>
          <w:color w:val="auto"/>
          <w:lang w:val="en"/>
        </w:rPr>
        <w:t xml:space="preserve">Definition of a business: Amendments to IFRS Business </w:t>
      </w:r>
      <w:proofErr w:type="gramStart"/>
      <w:r w:rsidRPr="00640789">
        <w:rPr>
          <w:rFonts w:eastAsia="Calibri" w:cs="Arial"/>
          <w:color w:val="auto"/>
          <w:lang w:val="en"/>
        </w:rPr>
        <w:t>Combinations</w:t>
      </w:r>
      <w:r>
        <w:rPr>
          <w:rFonts w:eastAsia="Calibri" w:cs="Arial"/>
          <w:color w:val="auto"/>
          <w:lang w:val="en"/>
        </w:rPr>
        <w:t>;</w:t>
      </w:r>
      <w:proofErr w:type="gramEnd"/>
      <w:r w:rsidR="00243C9B" w:rsidRPr="00BB3392">
        <w:rPr>
          <w:rFonts w:eastAsia="Calibri" w:cs="Arial"/>
          <w:color w:val="auto"/>
          <w:lang w:val="en"/>
        </w:rPr>
        <w:t xml:space="preserve"> </w:t>
      </w:r>
    </w:p>
    <w:p w14:paraId="3732FC2E" w14:textId="77777777" w:rsidR="00640789" w:rsidRDefault="00640789" w:rsidP="00640789">
      <w:pPr>
        <w:numPr>
          <w:ilvl w:val="0"/>
          <w:numId w:val="6"/>
        </w:numPr>
        <w:ind w:left="426" w:hanging="284"/>
        <w:rPr>
          <w:rFonts w:eastAsia="Calibri" w:cs="Arial"/>
          <w:color w:val="auto"/>
          <w:lang w:val="en"/>
        </w:rPr>
      </w:pPr>
      <w:r w:rsidRPr="00640789">
        <w:rPr>
          <w:rFonts w:eastAsia="Calibri" w:cs="Arial"/>
          <w:color w:val="auto"/>
          <w:lang w:val="en"/>
        </w:rPr>
        <w:t xml:space="preserve">Interest Rate Benchmark Reform: Amendments to IFRS 9, IAS 39 and IFRS </w:t>
      </w:r>
      <w:proofErr w:type="gramStart"/>
      <w:r w:rsidRPr="00640789">
        <w:rPr>
          <w:rFonts w:eastAsia="Calibri" w:cs="Arial"/>
          <w:color w:val="auto"/>
          <w:lang w:val="en"/>
        </w:rPr>
        <w:t>7</w:t>
      </w:r>
      <w:r>
        <w:rPr>
          <w:rFonts w:eastAsia="Calibri" w:cs="Arial"/>
          <w:color w:val="auto"/>
          <w:lang w:val="en"/>
        </w:rPr>
        <w:t>;</w:t>
      </w:r>
      <w:proofErr w:type="gramEnd"/>
    </w:p>
    <w:p w14:paraId="3A014DD9" w14:textId="77777777" w:rsidR="00640789" w:rsidRDefault="00640789" w:rsidP="00640789">
      <w:pPr>
        <w:numPr>
          <w:ilvl w:val="0"/>
          <w:numId w:val="6"/>
        </w:numPr>
        <w:ind w:left="426" w:hanging="284"/>
        <w:rPr>
          <w:rFonts w:eastAsia="Calibri" w:cs="Arial"/>
          <w:color w:val="auto"/>
          <w:lang w:val="en"/>
        </w:rPr>
      </w:pPr>
      <w:r w:rsidRPr="00640789">
        <w:rPr>
          <w:rFonts w:eastAsia="Calibri" w:cs="Arial"/>
          <w:color w:val="auto"/>
          <w:lang w:val="en"/>
        </w:rPr>
        <w:t>Interest Rate Benchmark Reform – Phase 2: Amendments to IFRS 9, IAS 39, IFRS 7, IFRS 4 and IFRS 16</w:t>
      </w:r>
      <w:r>
        <w:rPr>
          <w:rFonts w:eastAsia="Calibri" w:cs="Arial"/>
          <w:color w:val="auto"/>
          <w:lang w:val="en"/>
        </w:rPr>
        <w:t>.</w:t>
      </w:r>
    </w:p>
    <w:p w14:paraId="5F144F34" w14:textId="77777777" w:rsidR="00243C9B" w:rsidRDefault="00640789" w:rsidP="00243C9B">
      <w:pPr>
        <w:ind w:left="0"/>
      </w:pPr>
      <w:r w:rsidRPr="00640789">
        <w:t>If these had been adopted for the financial year 2020/21 there would be no known material changes.  If further information becomes available that requires changes to 2020/21 these will be restated in the 2021/22 financial statements.</w:t>
      </w:r>
    </w:p>
    <w:p w14:paraId="292F61C6" w14:textId="1371D222" w:rsidR="00C61404" w:rsidRDefault="00C61404" w:rsidP="00C61404">
      <w:pPr>
        <w:ind w:left="0"/>
      </w:pPr>
      <w:r>
        <w:t>The new leasing standard, IFRS 16 Leases, had been due to be implemented from 2020/21. However, due to the widespread impact of the COVID-19 global pandemic, the CIPFA/LASAAC Local Authority Accounting Code Board agreed to defer the implementation of this standard in line with the government’s Financial Reporting Advisory Board’s proposals for central government departments. This will mean the effective date for implementation is now 1 April 2022.</w:t>
      </w:r>
    </w:p>
    <w:p w14:paraId="202CA81C" w14:textId="3A4C435D" w:rsidR="007F5936" w:rsidRPr="00275B6E" w:rsidRDefault="007F5936" w:rsidP="007F5936">
      <w:pPr>
        <w:pStyle w:val="Heading2"/>
        <w:numPr>
          <w:ilvl w:val="0"/>
          <w:numId w:val="4"/>
        </w:numPr>
        <w:tabs>
          <w:tab w:val="left" w:pos="426"/>
        </w:tabs>
        <w:ind w:left="284" w:hanging="284"/>
      </w:pPr>
      <w:bookmarkStart w:id="480" w:name="_Toc144279336"/>
      <w:r>
        <w:t xml:space="preserve">Non-adjustment event after reporting </w:t>
      </w:r>
      <w:proofErr w:type="gramStart"/>
      <w:r>
        <w:t>period</w:t>
      </w:r>
      <w:bookmarkEnd w:id="480"/>
      <w:proofErr w:type="gramEnd"/>
    </w:p>
    <w:p w14:paraId="7AEA5245" w14:textId="77777777" w:rsidR="007F5936" w:rsidRDefault="007F5936" w:rsidP="007F5936">
      <w:pPr>
        <w:ind w:left="0"/>
      </w:pPr>
      <w:r>
        <w:t xml:space="preserve">Events after the Balance Sheet date are those events, both favourable and unfavourable that occur between the end of the reporting period and the data when the Statement of Accounts is authorised for issue. </w:t>
      </w:r>
    </w:p>
    <w:p w14:paraId="0A6314AF" w14:textId="3717608E" w:rsidR="007F5936" w:rsidRDefault="007F5936" w:rsidP="007F5936">
      <w:pPr>
        <w:ind w:left="0"/>
      </w:pPr>
      <w:r>
        <w:t xml:space="preserve">There is one event which </w:t>
      </w:r>
      <w:r w:rsidR="00F85C1F">
        <w:t>is</w:t>
      </w:r>
      <w:r>
        <w:t xml:space="preserve"> indicative of conditions that arose after the reporting period where the Statements of Accounts are not adjusted to reflect such events, but where a category of </w:t>
      </w:r>
      <w:r>
        <w:lastRenderedPageBreak/>
        <w:t xml:space="preserve">events would have a material effect. Disclosure is made in the notes of the nature of the events and their estimated financial effect or a statement that a reasonable estimate of the effect cannot be </w:t>
      </w:r>
      <w:proofErr w:type="gramStart"/>
      <w:r>
        <w:t>made:-</w:t>
      </w:r>
      <w:proofErr w:type="gramEnd"/>
      <w:r>
        <w:t xml:space="preserve"> </w:t>
      </w:r>
    </w:p>
    <w:p w14:paraId="161D3B8B" w14:textId="77777777" w:rsidR="007F5936" w:rsidRDefault="007F5936" w:rsidP="007F5936">
      <w:pPr>
        <w:pStyle w:val="ListParagraph"/>
        <w:numPr>
          <w:ilvl w:val="0"/>
          <w:numId w:val="56"/>
        </w:numPr>
        <w:contextualSpacing w:val="0"/>
      </w:pPr>
      <w:r>
        <w:t xml:space="preserve">The Strategic Partnership contract (with G4S Policing Services) is formally held by the PCC for the provision of a wide range of operational and support functions to the Chief Constable. This has been accounted for in full in the PCC’s accounts as that is where the contractual, budgetary and management control resides. The PCC has made the decision not to extend the contract for a further five years. The current contract expires on 31st March 2022. Most the services will transfer back to the Force on 1st April except for cleaning and custody services which will be contracted externally. An estimate of the financial effect of this change cannot be made at present due to size and complexity of the arrangements. </w:t>
      </w:r>
    </w:p>
    <w:p w14:paraId="7425EB0B" w14:textId="5A95F00B" w:rsidR="007F5936" w:rsidRDefault="007F5936">
      <w:pPr>
        <w:spacing w:before="0" w:after="200" w:line="276" w:lineRule="auto"/>
        <w:ind w:left="0"/>
        <w:jc w:val="left"/>
      </w:pPr>
      <w:r>
        <w:br w:type="page"/>
      </w:r>
    </w:p>
    <w:p w14:paraId="6DB7056C" w14:textId="77777777" w:rsidR="00F4486D" w:rsidRDefault="00C9696F" w:rsidP="00F4486D">
      <w:pPr>
        <w:pStyle w:val="Heading1"/>
        <w:ind w:left="0"/>
        <w:jc w:val="center"/>
      </w:pPr>
      <w:bookmarkStart w:id="481" w:name="_Toc8740540"/>
      <w:bookmarkStart w:id="482" w:name="_Toc30600353"/>
      <w:bookmarkStart w:id="483" w:name="_Toc42205095"/>
      <w:bookmarkStart w:id="484" w:name="_Toc42271447"/>
      <w:bookmarkStart w:id="485" w:name="_Toc72334893"/>
      <w:bookmarkStart w:id="486" w:name="_Toc144279337"/>
      <w:bookmarkStart w:id="487" w:name="_Toc426961044"/>
      <w:r>
        <w:lastRenderedPageBreak/>
        <w:t>Police Officer Pensions</w:t>
      </w:r>
      <w:bookmarkEnd w:id="481"/>
      <w:bookmarkEnd w:id="482"/>
      <w:bookmarkEnd w:id="483"/>
      <w:bookmarkEnd w:id="484"/>
      <w:bookmarkEnd w:id="485"/>
      <w:bookmarkEnd w:id="486"/>
      <w:r>
        <w:t xml:space="preserve"> </w:t>
      </w:r>
      <w:bookmarkStart w:id="488" w:name="_Toc42271448"/>
    </w:p>
    <w:p w14:paraId="2157E6F7" w14:textId="336E4613" w:rsidR="00E04ADA" w:rsidRPr="00F4486D" w:rsidRDefault="00C9696F" w:rsidP="00F4486D">
      <w:pPr>
        <w:pStyle w:val="Heading1"/>
        <w:ind w:left="0"/>
        <w:jc w:val="center"/>
      </w:pPr>
      <w:bookmarkStart w:id="489" w:name="_Toc42272214"/>
      <w:bookmarkStart w:id="490" w:name="_Toc72330240"/>
      <w:bookmarkStart w:id="491" w:name="_Toc144279338"/>
      <w:r w:rsidRPr="00A71AF8">
        <w:t>Home Office Memorandum Account</w:t>
      </w:r>
      <w:bookmarkEnd w:id="487"/>
      <w:r w:rsidRPr="00A71AF8">
        <w:t xml:space="preserve"> 2020</w:t>
      </w:r>
      <w:bookmarkEnd w:id="488"/>
      <w:bookmarkEnd w:id="489"/>
      <w:r w:rsidR="005065AA">
        <w:t>/21</w:t>
      </w:r>
      <w:bookmarkEnd w:id="490"/>
      <w:bookmarkEnd w:id="491"/>
    </w:p>
    <w:p w14:paraId="44444668" w14:textId="77777777" w:rsidR="00C9696F" w:rsidRDefault="00C9696F" w:rsidP="00BF505C">
      <w:pPr>
        <w:spacing w:after="120"/>
        <w:ind w:left="0"/>
      </w:pPr>
      <w:r w:rsidRPr="000B560B">
        <w:t>This statement shows the transactions relating to retirement benefits paid to Police Officers and</w:t>
      </w:r>
      <w:r>
        <w:t xml:space="preserve"> for how those costs are paid</w:t>
      </w:r>
      <w:r w:rsidRPr="000B560B">
        <w:t>.</w:t>
      </w:r>
    </w:p>
    <w:p w14:paraId="0A4DD1DC" w14:textId="58FDA1DD" w:rsidR="00257075" w:rsidRDefault="005065AA" w:rsidP="00C9696F">
      <w:pPr>
        <w:ind w:left="0"/>
      </w:pPr>
      <w:r w:rsidRPr="005065AA">
        <w:rPr>
          <w:noProof/>
        </w:rPr>
        <w:drawing>
          <wp:inline distT="0" distB="0" distL="0" distR="0" wp14:anchorId="6CC691D0" wp14:editId="799EB7C9">
            <wp:extent cx="5478780" cy="4169410"/>
            <wp:effectExtent l="0" t="0" r="762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78780" cy="4169410"/>
                    </a:xfrm>
                    <a:prstGeom prst="rect">
                      <a:avLst/>
                    </a:prstGeom>
                    <a:noFill/>
                    <a:ln>
                      <a:noFill/>
                    </a:ln>
                  </pic:spPr>
                </pic:pic>
              </a:graphicData>
            </a:graphic>
          </wp:inline>
        </w:drawing>
      </w:r>
    </w:p>
    <w:p w14:paraId="6678A2BC" w14:textId="77777777" w:rsidR="00C9696F" w:rsidRPr="00BB3392" w:rsidRDefault="00C9696F" w:rsidP="00C9696F">
      <w:pPr>
        <w:ind w:left="0"/>
        <w:rPr>
          <w:b/>
        </w:rPr>
      </w:pPr>
      <w:r w:rsidRPr="00BB3392">
        <w:rPr>
          <w:b/>
        </w:rPr>
        <w:t>Disclosure Notes</w:t>
      </w:r>
    </w:p>
    <w:p w14:paraId="3D0800E1" w14:textId="0B42F11B" w:rsidR="00C9696F" w:rsidRPr="000B560B" w:rsidRDefault="00C9696F" w:rsidP="007E1A23">
      <w:pPr>
        <w:pStyle w:val="NormalIndent"/>
        <w:numPr>
          <w:ilvl w:val="0"/>
          <w:numId w:val="7"/>
        </w:numPr>
        <w:rPr>
          <w:color w:val="auto"/>
        </w:rPr>
      </w:pPr>
      <w:r w:rsidRPr="00064C9F">
        <w:rPr>
          <w:color w:val="000000" w:themeColor="text1"/>
        </w:rPr>
        <w:t xml:space="preserve">The operation of the Pension Fund for Police and Crime Commissioners in England and Wales is controlled by the Police Pension Fund Regulations 2007 (SI 2007 No 1932).  It covers both old, new and Career Average Revalued </w:t>
      </w:r>
      <w:r w:rsidRPr="000B560B">
        <w:rPr>
          <w:color w:val="auto"/>
        </w:rPr>
        <w:t xml:space="preserve">Earnings (CARE) Police Officer occupational pension schemes but has no impact on the benefit structure of either scheme.  The CARE scheme was introduced from 1 April 2015.  This is the only scheme open to new officers.  Existing officers will be brought into the scheme on 1 April 2015 unless they have full transitional protection or tapered protection.  Injury and ill health awards continue to be paid from the PCC’s operating account.  The employer contribution rate is </w:t>
      </w:r>
      <w:r w:rsidR="000B79E4">
        <w:rPr>
          <w:color w:val="auto"/>
        </w:rPr>
        <w:t>31</w:t>
      </w:r>
      <w:r w:rsidRPr="000B560B">
        <w:rPr>
          <w:color w:val="auto"/>
        </w:rPr>
        <w:t>% of pensionable pay.  Employees’ contributions in the 1987 old scheme are either 14.25% or 15.05% of pensionable pay.  In the 2006 new scheme employees contribute either 11%, 12.05% or 12.75% of pensionable pay.  In the 2015 CARE scheme employees contribute either 12.44%, 13.44% or 13.78% of pensionable pay.</w:t>
      </w:r>
    </w:p>
    <w:p w14:paraId="771697DE" w14:textId="77777777" w:rsidR="00C9696F" w:rsidRPr="000B560B" w:rsidRDefault="00C9696F" w:rsidP="007E1A23">
      <w:pPr>
        <w:pStyle w:val="NormalIndent"/>
        <w:numPr>
          <w:ilvl w:val="0"/>
          <w:numId w:val="7"/>
        </w:numPr>
        <w:rPr>
          <w:color w:val="auto"/>
        </w:rPr>
      </w:pPr>
      <w:r>
        <w:rPr>
          <w:color w:val="auto"/>
        </w:rPr>
        <w:t>The fund is administered</w:t>
      </w:r>
      <w:r w:rsidRPr="000B560B">
        <w:rPr>
          <w:color w:val="auto"/>
        </w:rPr>
        <w:t xml:space="preserve"> by</w:t>
      </w:r>
      <w:r>
        <w:rPr>
          <w:color w:val="auto"/>
        </w:rPr>
        <w:t xml:space="preserve"> XPS on behalf of</w:t>
      </w:r>
      <w:r w:rsidRPr="000B560B">
        <w:rPr>
          <w:color w:val="auto"/>
        </w:rPr>
        <w:t xml:space="preserve"> Lincolnshire Police.  Salary deductions are made from members of the scheme, and payments are made to retiring officers and pensioners in accordance with Police Pension Fund Regulations 2007.  Returns are made to the Home Office for the projected and actual costs in each year, and funds are transferred accordingly.  </w:t>
      </w:r>
    </w:p>
    <w:p w14:paraId="38CD2193" w14:textId="2228416C" w:rsidR="00C9696F" w:rsidRPr="000B560B" w:rsidRDefault="00C9696F" w:rsidP="007E1A23">
      <w:pPr>
        <w:pStyle w:val="NormalIndent"/>
        <w:numPr>
          <w:ilvl w:val="0"/>
          <w:numId w:val="7"/>
        </w:numPr>
        <w:rPr>
          <w:color w:val="auto"/>
        </w:rPr>
      </w:pPr>
      <w:r w:rsidRPr="000B560B">
        <w:rPr>
          <w:color w:val="auto"/>
        </w:rPr>
        <w:lastRenderedPageBreak/>
        <w:t xml:space="preserve">There are no investment assets; the fund is balanced to nil each year by receipt of a </w:t>
      </w:r>
      <w:r>
        <w:rPr>
          <w:color w:val="auto"/>
        </w:rPr>
        <w:t>Police P</w:t>
      </w:r>
      <w:r w:rsidRPr="000B560B">
        <w:rPr>
          <w:color w:val="auto"/>
        </w:rPr>
        <w:t>ension</w:t>
      </w:r>
      <w:r>
        <w:rPr>
          <w:color w:val="auto"/>
        </w:rPr>
        <w:t>s</w:t>
      </w:r>
      <w:r w:rsidRPr="000B560B">
        <w:rPr>
          <w:color w:val="auto"/>
        </w:rPr>
        <w:t xml:space="preserve"> </w:t>
      </w:r>
      <w:r>
        <w:rPr>
          <w:color w:val="auto"/>
        </w:rPr>
        <w:t>Payments</w:t>
      </w:r>
      <w:r w:rsidRPr="000B560B">
        <w:rPr>
          <w:color w:val="auto"/>
        </w:rPr>
        <w:t xml:space="preserve"> grant from the Home Office (via PCC for Lincolnshire).  Payments are made monthly to pensioners, with the pension fund entries being kept separate, outside of the PCC’s general ledger accounts.  Details of the PCC’s long-term pension obligations can be found in the main statements at Note 4</w:t>
      </w:r>
      <w:r w:rsidR="00D0465C">
        <w:rPr>
          <w:color w:val="auto"/>
        </w:rPr>
        <w:t>5</w:t>
      </w:r>
      <w:r w:rsidRPr="000B560B">
        <w:rPr>
          <w:color w:val="auto"/>
        </w:rPr>
        <w:t xml:space="preserve">.  </w:t>
      </w:r>
    </w:p>
    <w:p w14:paraId="308DDD0B" w14:textId="77777777" w:rsidR="00C9696F" w:rsidRPr="000B560B" w:rsidRDefault="00C9696F" w:rsidP="007E1A23">
      <w:pPr>
        <w:pStyle w:val="NormalIndent"/>
        <w:numPr>
          <w:ilvl w:val="0"/>
          <w:numId w:val="7"/>
        </w:numPr>
        <w:rPr>
          <w:color w:val="auto"/>
        </w:rPr>
      </w:pPr>
      <w:r w:rsidRPr="000B560B">
        <w:rPr>
          <w:color w:val="auto"/>
        </w:rPr>
        <w:t xml:space="preserve">The accounting policies followed are in accordance with Note 1. </w:t>
      </w:r>
    </w:p>
    <w:p w14:paraId="4D65C444" w14:textId="77777777" w:rsidR="00C9696F" w:rsidRPr="00067364" w:rsidRDefault="00C9696F" w:rsidP="007E1A23">
      <w:pPr>
        <w:pStyle w:val="NormalIndent"/>
        <w:numPr>
          <w:ilvl w:val="0"/>
          <w:numId w:val="7"/>
        </w:numPr>
        <w:rPr>
          <w:color w:val="auto"/>
        </w:rPr>
      </w:pPr>
      <w:r w:rsidRPr="000B560B">
        <w:rPr>
          <w:color w:val="auto"/>
        </w:rPr>
        <w:t xml:space="preserve">The Police Officer Pensions – Home Office Memorandum Account does not take account </w:t>
      </w:r>
      <w:r w:rsidRPr="00067364">
        <w:rPr>
          <w:color w:val="auto"/>
        </w:rPr>
        <w:t xml:space="preserve">of liabilities to pay pensions and benefits after the period end. </w:t>
      </w:r>
    </w:p>
    <w:p w14:paraId="5427334D" w14:textId="641F9AE7" w:rsidR="00C9696F" w:rsidRPr="00C34B63" w:rsidRDefault="00C9696F" w:rsidP="007E1A23">
      <w:pPr>
        <w:pStyle w:val="NormalIndent"/>
        <w:numPr>
          <w:ilvl w:val="0"/>
          <w:numId w:val="7"/>
        </w:numPr>
        <w:rPr>
          <w:color w:val="000000" w:themeColor="text1"/>
        </w:rPr>
      </w:pPr>
      <w:r w:rsidRPr="00C34B63">
        <w:rPr>
          <w:color w:val="000000" w:themeColor="text1"/>
        </w:rPr>
        <w:t>The net amount receivable of £</w:t>
      </w:r>
      <w:r w:rsidR="00C34B63" w:rsidRPr="00C34B63">
        <w:rPr>
          <w:color w:val="000000" w:themeColor="text1"/>
        </w:rPr>
        <w:t>6,428,058</w:t>
      </w:r>
      <w:r w:rsidRPr="00C34B63">
        <w:rPr>
          <w:color w:val="000000" w:themeColor="text1"/>
        </w:rPr>
        <w:t xml:space="preserve"> is shown in PCC for Lincolnshire accounts as due from the Home Office.  </w:t>
      </w:r>
    </w:p>
    <w:p w14:paraId="3E5A68F2" w14:textId="00B0EF25" w:rsidR="00B41FAC" w:rsidRPr="00B41FAC" w:rsidRDefault="00B41FAC" w:rsidP="00B41FAC">
      <w:pPr>
        <w:pStyle w:val="Heading3"/>
        <w:numPr>
          <w:ilvl w:val="0"/>
          <w:numId w:val="7"/>
        </w:numPr>
        <w:spacing w:before="220" w:after="220"/>
        <w:rPr>
          <w:bCs w:val="0"/>
          <w:lang w:val="en-US"/>
        </w:rPr>
      </w:pPr>
      <w:r w:rsidRPr="00B41FAC">
        <w:rPr>
          <w:bCs w:val="0"/>
          <w:lang w:val="en-US"/>
        </w:rPr>
        <w:t xml:space="preserve">McCloud Judgement Legal Cases </w:t>
      </w:r>
      <w:r w:rsidRPr="00B41FAC">
        <w:rPr>
          <w:bCs w:val="0"/>
        </w:rPr>
        <w:t>–</w:t>
      </w:r>
      <w:r w:rsidRPr="00B41FAC">
        <w:rPr>
          <w:bCs w:val="0"/>
          <w:lang w:val="en-US"/>
        </w:rPr>
        <w:t xml:space="preserve"> The Chief Constable of Lincolnshire along with other Chief Constables and the Home Office currently has </w:t>
      </w:r>
      <w:proofErr w:type="gramStart"/>
      <w:r w:rsidRPr="00B41FAC">
        <w:rPr>
          <w:bCs w:val="0"/>
          <w:lang w:val="en-US"/>
        </w:rPr>
        <w:t>a number of</w:t>
      </w:r>
      <w:proofErr w:type="gramEnd"/>
      <w:r w:rsidRPr="00B41FAC">
        <w:rPr>
          <w:bCs w:val="0"/>
          <w:lang w:val="en-US"/>
        </w:rPr>
        <w:t xml:space="preserve"> claims in respect of unlawful discrimination arising from transitional provisions in the Police Pension Regulations 2015.  The claims against the Police pension scheme (the Aarons case) had previously been stayed behind the McCloud/Sargeant judgement, but a case management was held in Oct</w:t>
      </w:r>
      <w:r w:rsidR="003E39B6">
        <w:rPr>
          <w:bCs w:val="0"/>
          <w:lang w:val="en-US"/>
        </w:rPr>
        <w:t>ober</w:t>
      </w:r>
      <w:r w:rsidRPr="00B41FAC">
        <w:rPr>
          <w:bCs w:val="0"/>
          <w:lang w:val="en-US"/>
        </w:rPr>
        <w:t xml:space="preserve"> 2019, with the resulting Order including an interim declaration that the claimants are entitled to be treated as if they had been given full transitional protection and had remained in their existing scheme after 1 April 2015.  Whilst the interim declaration applied only to claimants, the Government made clear through a Written Ministerial Statement on 25 March 2020 that non-claimants would be treated in the same way.</w:t>
      </w:r>
    </w:p>
    <w:p w14:paraId="2D78D6C5" w14:textId="77777777" w:rsidR="00B41FAC" w:rsidRPr="00D678FA" w:rsidRDefault="00B41FAC" w:rsidP="00B41FAC">
      <w:pPr>
        <w:rPr>
          <w:lang w:val="en-US"/>
        </w:rPr>
      </w:pPr>
      <w:r w:rsidRPr="00D678FA">
        <w:rPr>
          <w:lang w:val="en-US"/>
        </w:rPr>
        <w:t xml:space="preserve">On 16 July 2020, HM Treasury issued a consultation regarding transitional arrangements for public sector pensions to eliminate discrimination as identified through the McCloud/Sargeant cases.  This consultation introduced a requirement for members to have been members of the scheme on or before 31 March 2012 and on or after 1 April to be eligible for remedy. </w:t>
      </w:r>
    </w:p>
    <w:p w14:paraId="0FD408A7" w14:textId="77777777" w:rsidR="00B41FAC" w:rsidRPr="00A610EC" w:rsidRDefault="00B41FAC" w:rsidP="00B41FAC">
      <w:pPr>
        <w:rPr>
          <w:lang w:val="en-US"/>
        </w:rPr>
      </w:pPr>
      <w:r w:rsidRPr="00D678FA">
        <w:rPr>
          <w:lang w:val="en-US"/>
        </w:rPr>
        <w:t xml:space="preserve">On 4 February 2021, HM Treasury issued their response to the consultation which confirmed the remedy arrangements set out in the consultation, and states that members would be given a choice as to whether to retain benefits from their legacy pension scheme, or their new scheme, during the remedy period (2015-2022).  This choice will be deferred for members until retirement.  As the findings of the original Employment Tribunal did not identify that the introduction of the new public sector pension schemes </w:t>
      </w:r>
      <w:proofErr w:type="gramStart"/>
      <w:r w:rsidRPr="00D678FA">
        <w:rPr>
          <w:lang w:val="en-US"/>
        </w:rPr>
        <w:t>were</w:t>
      </w:r>
      <w:proofErr w:type="gramEnd"/>
      <w:r w:rsidRPr="00D678FA">
        <w:rPr>
          <w:lang w:val="en-US"/>
        </w:rPr>
        <w:t xml:space="preserve"> discriminatory (rather it was the transitional provisions), the legacy schemes will be removed from April 2022 to be replaced by the new pension schemes originally introduced in 2015.</w:t>
      </w:r>
    </w:p>
    <w:p w14:paraId="545CB447" w14:textId="4007637D" w:rsidR="00B41FAC" w:rsidRPr="003317CF" w:rsidRDefault="00B41FAC" w:rsidP="003317CF">
      <w:pPr>
        <w:pStyle w:val="ListParagraph"/>
        <w:numPr>
          <w:ilvl w:val="0"/>
          <w:numId w:val="7"/>
        </w:numPr>
        <w:rPr>
          <w:rFonts w:ascii="Calibri" w:hAnsi="Calibri"/>
          <w:lang w:eastAsia="en-GB"/>
        </w:rPr>
      </w:pPr>
      <w:r w:rsidRPr="00A610EC">
        <w:rPr>
          <w:lang w:val="en-US"/>
        </w:rPr>
        <w:t xml:space="preserve">McCloud Judgement Impact on Pension Liability </w:t>
      </w:r>
      <w:r w:rsidRPr="00A610EC">
        <w:t xml:space="preserve">– </w:t>
      </w:r>
      <w:r w:rsidR="00A610EC" w:rsidRPr="003317CF">
        <w:t xml:space="preserve">Allowing for all eligible members to accrue benefits from their legacy scheme during the remedy period would lead to an increase in the Police Pension Scheme liabilities. For the Police and Crime Commissioner for Lincolnshire, this effects around 1,000 members. The actuary originally estimated the increase in scheme liabilities for the Police and Crime Commissioner for Lincolnshire to be 4.0% or £56m of pension scheme liabilities. This was recognised in the 2018-19 accounts. In 2019/20, the estimated increase was a further £8m reflecting an additional </w:t>
      </w:r>
      <w:r w:rsidR="00A610EC" w:rsidRPr="00A610EC">
        <w:t>year’s</w:t>
      </w:r>
      <w:r w:rsidR="00A610EC" w:rsidRPr="003317CF">
        <w:t xml:space="preserve"> benefits from the remedy and a reduction resulting from the eligibility criteria for members set out in HM Treasury’s consultation. In 2020/21, a further, more detailed, estimate of 1.3% of pensions scheme liabilities or £21m was calculated using actual membership data and reflected in the accounts (again reflecting an </w:t>
      </w:r>
      <w:proofErr w:type="gramStart"/>
      <w:r w:rsidR="00A610EC" w:rsidRPr="003317CF">
        <w:t>additional years</w:t>
      </w:r>
      <w:proofErr w:type="gramEnd"/>
      <w:r w:rsidR="00A610EC" w:rsidRPr="003317CF">
        <w:t xml:space="preserve"> benefits from the remedy).</w:t>
      </w:r>
    </w:p>
    <w:p w14:paraId="037CD7D2" w14:textId="77777777" w:rsidR="00B41FAC" w:rsidRPr="001A5A40" w:rsidRDefault="00B41FAC" w:rsidP="00B41FAC">
      <w:pPr>
        <w:rPr>
          <w:iCs/>
        </w:rPr>
      </w:pPr>
      <w:r w:rsidRPr="001A5A40">
        <w:rPr>
          <w:iCs/>
        </w:rPr>
        <w:t xml:space="preserve">The impact of an increase in scheme liabilities arising from McCloud/Sargeant judgement will be measured through the pension valuation process, which determines employer and </w:t>
      </w:r>
      <w:r w:rsidRPr="001A5A40">
        <w:rPr>
          <w:iCs/>
        </w:rPr>
        <w:lastRenderedPageBreak/>
        <w:t>employee contribution rates. The next Police Pension valuation is due to be reported in 2023/24, although this timetable is subject to change.</w:t>
      </w:r>
    </w:p>
    <w:p w14:paraId="7EE7FF90" w14:textId="67704677" w:rsidR="00C9696F" w:rsidRDefault="00B41FAC" w:rsidP="00754431">
      <w:pPr>
        <w:spacing w:before="0" w:after="200"/>
        <w:ind w:left="284"/>
      </w:pPr>
      <w:r w:rsidRPr="001A5A40">
        <w:rPr>
          <w:iCs/>
        </w:rPr>
        <w:t>The impact of an increase in annual pension payments arising from McCloud/Sargeant is determined through the Police Pension Fund Regulations 2007.  These require a police authority to maintain a pension fund into which officer and employer contributions are paid and out of which pension payments to retired officers are made.  If the police pension fund does not have sufficient funds to meet the cost of pensions in year the amount required to meet the deficit is then paid by the Secretary of State to the police authority in the form of a central government top-up grant.</w:t>
      </w:r>
      <w:r w:rsidR="00C9696F">
        <w:br w:type="page"/>
      </w:r>
    </w:p>
    <w:p w14:paraId="25443B6A" w14:textId="77777777" w:rsidR="00C9696F" w:rsidRDefault="00A71AF8" w:rsidP="00A71AF8">
      <w:pPr>
        <w:pStyle w:val="Heading1"/>
        <w:ind w:left="0"/>
      </w:pPr>
      <w:bookmarkStart w:id="492" w:name="_Toc413151279"/>
      <w:bookmarkStart w:id="493" w:name="_Toc426961046"/>
      <w:bookmarkStart w:id="494" w:name="_Toc30600356"/>
      <w:bookmarkStart w:id="495" w:name="_Toc42205096"/>
      <w:bookmarkStart w:id="496" w:name="_Toc42271449"/>
      <w:bookmarkStart w:id="497" w:name="_Toc144279339"/>
      <w:r w:rsidRPr="008049D0">
        <w:lastRenderedPageBreak/>
        <w:t>Glossary of Terms</w:t>
      </w:r>
      <w:bookmarkEnd w:id="492"/>
      <w:bookmarkEnd w:id="493"/>
      <w:bookmarkEnd w:id="494"/>
      <w:bookmarkEnd w:id="495"/>
      <w:bookmarkEnd w:id="496"/>
      <w:bookmarkEnd w:id="497"/>
    </w:p>
    <w:tbl>
      <w:tblPr>
        <w:tblStyle w:val="TableGrid1"/>
        <w:tblW w:w="9498" w:type="dxa"/>
        <w:tblInd w:w="1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694"/>
        <w:gridCol w:w="6804"/>
      </w:tblGrid>
      <w:tr w:rsidR="00A71AF8" w:rsidRPr="00A71AF8" w14:paraId="6774259C" w14:textId="77777777" w:rsidTr="00493AFA">
        <w:tc>
          <w:tcPr>
            <w:tcW w:w="2694" w:type="dxa"/>
            <w:tcBorders>
              <w:bottom w:val="single" w:sz="4" w:space="0" w:color="A6A6A6" w:themeColor="background1" w:themeShade="A6"/>
            </w:tcBorders>
            <w:vAlign w:val="center"/>
          </w:tcPr>
          <w:p w14:paraId="45A80DFA" w14:textId="77777777" w:rsidR="00A71AF8" w:rsidRPr="00A71AF8" w:rsidRDefault="00A71AF8" w:rsidP="00A71AF8">
            <w:pPr>
              <w:keepNext/>
              <w:tabs>
                <w:tab w:val="left" w:pos="284"/>
                <w:tab w:val="left" w:pos="851"/>
              </w:tabs>
              <w:spacing w:before="120" w:after="120"/>
              <w:ind w:left="0"/>
              <w:jc w:val="left"/>
              <w:outlineLvl w:val="8"/>
              <w:rPr>
                <w:rFonts w:eastAsia="MS Mincho" w:cs="Arial"/>
                <w:b/>
                <w:color w:val="000000"/>
                <w:sz w:val="18"/>
                <w:szCs w:val="18"/>
              </w:rPr>
            </w:pPr>
            <w:r w:rsidRPr="00A71AF8">
              <w:rPr>
                <w:rFonts w:eastAsia="MS Mincho" w:cs="Arial"/>
                <w:b/>
                <w:color w:val="000000"/>
                <w:sz w:val="18"/>
                <w:szCs w:val="18"/>
              </w:rPr>
              <w:t>Term</w:t>
            </w:r>
          </w:p>
        </w:tc>
        <w:tc>
          <w:tcPr>
            <w:tcW w:w="6804" w:type="dxa"/>
            <w:tcBorders>
              <w:bottom w:val="single" w:sz="4" w:space="0" w:color="A6A6A6" w:themeColor="background1" w:themeShade="A6"/>
            </w:tcBorders>
            <w:vAlign w:val="center"/>
          </w:tcPr>
          <w:p w14:paraId="5B2CF9B3" w14:textId="77777777" w:rsidR="00A71AF8" w:rsidRPr="00A71AF8" w:rsidRDefault="00A71AF8" w:rsidP="00A71AF8">
            <w:pPr>
              <w:keepNext/>
              <w:tabs>
                <w:tab w:val="left" w:pos="284"/>
                <w:tab w:val="left" w:pos="851"/>
              </w:tabs>
              <w:spacing w:before="120" w:after="120"/>
              <w:ind w:left="0"/>
              <w:jc w:val="left"/>
              <w:outlineLvl w:val="8"/>
              <w:rPr>
                <w:rFonts w:eastAsia="MS Mincho" w:cs="Arial"/>
                <w:b/>
                <w:color w:val="000000"/>
                <w:sz w:val="18"/>
                <w:szCs w:val="18"/>
              </w:rPr>
            </w:pPr>
            <w:r w:rsidRPr="00A71AF8">
              <w:rPr>
                <w:rFonts w:eastAsia="MS Mincho" w:cs="Arial"/>
                <w:b/>
                <w:color w:val="000000"/>
                <w:sz w:val="18"/>
                <w:szCs w:val="18"/>
              </w:rPr>
              <w:t>Definition</w:t>
            </w:r>
          </w:p>
        </w:tc>
      </w:tr>
      <w:tr w:rsidR="00A71AF8" w:rsidRPr="00A71AF8" w14:paraId="0CC8FF27" w14:textId="77777777" w:rsidTr="00493AFA">
        <w:tc>
          <w:tcPr>
            <w:tcW w:w="2694" w:type="dxa"/>
            <w:tcBorders>
              <w:top w:val="single" w:sz="4" w:space="0" w:color="A6A6A6" w:themeColor="background1" w:themeShade="A6"/>
            </w:tcBorders>
          </w:tcPr>
          <w:p w14:paraId="6DD3CCDA"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Accrual</w:t>
            </w:r>
          </w:p>
        </w:tc>
        <w:tc>
          <w:tcPr>
            <w:tcW w:w="6804" w:type="dxa"/>
            <w:tcBorders>
              <w:top w:val="single" w:sz="4" w:space="0" w:color="A6A6A6" w:themeColor="background1" w:themeShade="A6"/>
            </w:tcBorders>
          </w:tcPr>
          <w:p w14:paraId="7166B8B6"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An adjustment to ensure that expenditure and income are reflected in the appropriate accounting period.</w:t>
            </w:r>
          </w:p>
        </w:tc>
      </w:tr>
      <w:tr w:rsidR="00A71AF8" w:rsidRPr="00A71AF8" w14:paraId="1DA4F8BE" w14:textId="77777777" w:rsidTr="00493AFA">
        <w:tc>
          <w:tcPr>
            <w:tcW w:w="2694" w:type="dxa"/>
          </w:tcPr>
          <w:p w14:paraId="15F13757"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Actuary/Actuarial</w:t>
            </w:r>
          </w:p>
        </w:tc>
        <w:tc>
          <w:tcPr>
            <w:tcW w:w="6804" w:type="dxa"/>
          </w:tcPr>
          <w:p w14:paraId="61E4B29C"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A person professionally qualified to advise on pension matters and undertakes calculations on pension costs, allowing for risk and demographic factors.</w:t>
            </w:r>
          </w:p>
        </w:tc>
      </w:tr>
      <w:tr w:rsidR="00A71AF8" w:rsidRPr="00A71AF8" w14:paraId="3361A0E8" w14:textId="77777777" w:rsidTr="00493AFA">
        <w:tc>
          <w:tcPr>
            <w:tcW w:w="2694" w:type="dxa"/>
          </w:tcPr>
          <w:p w14:paraId="5CE76458"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Amortisation</w:t>
            </w:r>
          </w:p>
        </w:tc>
        <w:tc>
          <w:tcPr>
            <w:tcW w:w="6804" w:type="dxa"/>
          </w:tcPr>
          <w:p w14:paraId="34015D36"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The measure of the wearing out, consumption, or other reduction in the useful economic life of Intangible Assets.</w:t>
            </w:r>
          </w:p>
        </w:tc>
      </w:tr>
      <w:tr w:rsidR="00A71AF8" w:rsidRPr="00A71AF8" w14:paraId="768972BD" w14:textId="77777777" w:rsidTr="00493AFA">
        <w:tc>
          <w:tcPr>
            <w:tcW w:w="2694" w:type="dxa"/>
          </w:tcPr>
          <w:p w14:paraId="4366B847"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Balances</w:t>
            </w:r>
          </w:p>
        </w:tc>
        <w:tc>
          <w:tcPr>
            <w:tcW w:w="6804" w:type="dxa"/>
          </w:tcPr>
          <w:p w14:paraId="56B84705"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The total revenue Reserves required to provide a working balance during the financial year, for example in periods when expenditure exceeds income.</w:t>
            </w:r>
          </w:p>
        </w:tc>
      </w:tr>
      <w:tr w:rsidR="00A71AF8" w:rsidRPr="00A71AF8" w14:paraId="400818BE" w14:textId="77777777" w:rsidTr="00493AFA">
        <w:tc>
          <w:tcPr>
            <w:tcW w:w="2694" w:type="dxa"/>
          </w:tcPr>
          <w:p w14:paraId="1203BA65" w14:textId="77777777" w:rsidR="00A71AF8" w:rsidRPr="00A71AF8" w:rsidRDefault="00A71AF8" w:rsidP="005E6E22">
            <w:pPr>
              <w:tabs>
                <w:tab w:val="left" w:pos="34"/>
              </w:tabs>
              <w:spacing w:before="110" w:after="110"/>
              <w:ind w:left="0"/>
              <w:jc w:val="left"/>
              <w:rPr>
                <w:rFonts w:cs="Arial"/>
                <w:sz w:val="18"/>
                <w:szCs w:val="18"/>
                <w:lang w:eastAsia="en-GB"/>
              </w:rPr>
            </w:pPr>
            <w:r w:rsidRPr="00A71AF8">
              <w:rPr>
                <w:rFonts w:cs="Arial"/>
                <w:sz w:val="18"/>
                <w:szCs w:val="18"/>
                <w:lang w:eastAsia="en-GB"/>
              </w:rPr>
              <w:t>Capital Adjustment Account</w:t>
            </w:r>
          </w:p>
        </w:tc>
        <w:tc>
          <w:tcPr>
            <w:tcW w:w="6804" w:type="dxa"/>
          </w:tcPr>
          <w:p w14:paraId="34126060"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A reserve primarily designed to represent timing differences between the amount of the historical cost of Property Plant and Equipment that has been consumed and the amount that has been financed in accordance with statutory requirements.</w:t>
            </w:r>
          </w:p>
        </w:tc>
      </w:tr>
      <w:tr w:rsidR="00A71AF8" w:rsidRPr="00A71AF8" w14:paraId="7CCD286D" w14:textId="77777777" w:rsidTr="00493AFA">
        <w:tc>
          <w:tcPr>
            <w:tcW w:w="2694" w:type="dxa"/>
          </w:tcPr>
          <w:p w14:paraId="11AA1102"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Capital Expenditure</w:t>
            </w:r>
          </w:p>
        </w:tc>
        <w:tc>
          <w:tcPr>
            <w:tcW w:w="6804" w:type="dxa"/>
          </w:tcPr>
          <w:p w14:paraId="445B475A"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Expenditure on assets, which have a long-term value.  Includes the purchase of land, purchase or construction of new buildings and vehicles.</w:t>
            </w:r>
          </w:p>
        </w:tc>
      </w:tr>
      <w:tr w:rsidR="00A71AF8" w:rsidRPr="00A71AF8" w14:paraId="47BF7DAC" w14:textId="77777777" w:rsidTr="00493AFA">
        <w:tc>
          <w:tcPr>
            <w:tcW w:w="2694" w:type="dxa"/>
          </w:tcPr>
          <w:p w14:paraId="6594CA8B"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Capital Grants</w:t>
            </w:r>
          </w:p>
        </w:tc>
        <w:tc>
          <w:tcPr>
            <w:tcW w:w="6804" w:type="dxa"/>
          </w:tcPr>
          <w:p w14:paraId="182B1489"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Grants received towards capital outlay on a particular service or project.</w:t>
            </w:r>
          </w:p>
        </w:tc>
      </w:tr>
      <w:tr w:rsidR="00A71AF8" w:rsidRPr="00A71AF8" w14:paraId="67FE5B92" w14:textId="77777777" w:rsidTr="00493AFA">
        <w:tc>
          <w:tcPr>
            <w:tcW w:w="2694" w:type="dxa"/>
          </w:tcPr>
          <w:p w14:paraId="18450847"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Capital Receipts</w:t>
            </w:r>
          </w:p>
        </w:tc>
        <w:tc>
          <w:tcPr>
            <w:tcW w:w="6804" w:type="dxa"/>
          </w:tcPr>
          <w:p w14:paraId="2B5B48A3"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Proceeds received from the sale of Property Plant and Equipment (assets which have value beyond one financial year).</w:t>
            </w:r>
          </w:p>
        </w:tc>
      </w:tr>
      <w:tr w:rsidR="00A71AF8" w:rsidRPr="00A71AF8" w14:paraId="7BF0E227" w14:textId="77777777" w:rsidTr="00493AFA">
        <w:tc>
          <w:tcPr>
            <w:tcW w:w="2694" w:type="dxa"/>
          </w:tcPr>
          <w:p w14:paraId="240BDF62"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CIPFA</w:t>
            </w:r>
          </w:p>
        </w:tc>
        <w:tc>
          <w:tcPr>
            <w:tcW w:w="6804" w:type="dxa"/>
          </w:tcPr>
          <w:p w14:paraId="7685894A"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The Chartered Institute of Public Finance and Accountancy. This is the main professional body for accountants working in the public service.</w:t>
            </w:r>
          </w:p>
        </w:tc>
      </w:tr>
      <w:tr w:rsidR="00A71AF8" w:rsidRPr="00A71AF8" w14:paraId="671CF853" w14:textId="77777777" w:rsidTr="00493AFA">
        <w:tc>
          <w:tcPr>
            <w:tcW w:w="2694" w:type="dxa"/>
          </w:tcPr>
          <w:p w14:paraId="6320DF30"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Collection Fund</w:t>
            </w:r>
          </w:p>
        </w:tc>
        <w:tc>
          <w:tcPr>
            <w:tcW w:w="6804" w:type="dxa"/>
          </w:tcPr>
          <w:p w14:paraId="7F1F195D"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A fund administered by each billing authority.  Council Tax monies are paid into the fund.  These are distributed to precepting and billing authorities in proportion to the Council Tax set.</w:t>
            </w:r>
          </w:p>
        </w:tc>
      </w:tr>
      <w:tr w:rsidR="00A71AF8" w:rsidRPr="00A71AF8" w14:paraId="2D56DE0F" w14:textId="77777777" w:rsidTr="00493AFA">
        <w:tc>
          <w:tcPr>
            <w:tcW w:w="2694" w:type="dxa"/>
          </w:tcPr>
          <w:p w14:paraId="5D6F6596" w14:textId="77777777" w:rsidR="00A71AF8" w:rsidRPr="00A71AF8" w:rsidRDefault="00A71AF8" w:rsidP="005E6E22">
            <w:pPr>
              <w:tabs>
                <w:tab w:val="left" w:pos="34"/>
              </w:tabs>
              <w:spacing w:before="110" w:after="110"/>
              <w:ind w:left="0"/>
              <w:rPr>
                <w:rFonts w:cs="Arial"/>
                <w:sz w:val="18"/>
                <w:szCs w:val="18"/>
                <w:lang w:eastAsia="en-GB"/>
              </w:rPr>
            </w:pPr>
            <w:proofErr w:type="spellStart"/>
            <w:r w:rsidRPr="00A71AF8">
              <w:rPr>
                <w:rFonts w:cs="Arial"/>
                <w:sz w:val="18"/>
                <w:szCs w:val="18"/>
                <w:lang w:eastAsia="en-GB"/>
              </w:rPr>
              <w:t>CoPaCC</w:t>
            </w:r>
            <w:proofErr w:type="spellEnd"/>
          </w:p>
        </w:tc>
        <w:tc>
          <w:tcPr>
            <w:tcW w:w="6804" w:type="dxa"/>
          </w:tcPr>
          <w:p w14:paraId="159918BE"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Centre on Police Practices and Community.</w:t>
            </w:r>
          </w:p>
        </w:tc>
      </w:tr>
      <w:tr w:rsidR="00A71AF8" w:rsidRPr="00A71AF8" w14:paraId="5540C0BC" w14:textId="77777777" w:rsidTr="00493AFA">
        <w:tc>
          <w:tcPr>
            <w:tcW w:w="2694" w:type="dxa"/>
          </w:tcPr>
          <w:p w14:paraId="78919F4A"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Creditors</w:t>
            </w:r>
          </w:p>
        </w:tc>
        <w:tc>
          <w:tcPr>
            <w:tcW w:w="6804" w:type="dxa"/>
          </w:tcPr>
          <w:p w14:paraId="0598E2C8"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 xml:space="preserve">Amounts owed by the PCC for work done, goods </w:t>
            </w:r>
            <w:proofErr w:type="gramStart"/>
            <w:r w:rsidRPr="00A71AF8">
              <w:rPr>
                <w:rFonts w:cs="Arial"/>
                <w:sz w:val="18"/>
                <w:szCs w:val="18"/>
                <w:lang w:eastAsia="en-GB"/>
              </w:rPr>
              <w:t>received</w:t>
            </w:r>
            <w:proofErr w:type="gramEnd"/>
            <w:r w:rsidRPr="00A71AF8">
              <w:rPr>
                <w:rFonts w:cs="Arial"/>
                <w:sz w:val="18"/>
                <w:szCs w:val="18"/>
                <w:lang w:eastAsia="en-GB"/>
              </w:rPr>
              <w:t xml:space="preserve"> or services rendered but for which payment has not been made at 31 March.</w:t>
            </w:r>
          </w:p>
        </w:tc>
      </w:tr>
      <w:tr w:rsidR="00A71AF8" w:rsidRPr="00A71AF8" w14:paraId="13CB1BAB" w14:textId="77777777" w:rsidTr="00493AFA">
        <w:tc>
          <w:tcPr>
            <w:tcW w:w="2694" w:type="dxa"/>
          </w:tcPr>
          <w:p w14:paraId="302EE156"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Debtors</w:t>
            </w:r>
          </w:p>
        </w:tc>
        <w:tc>
          <w:tcPr>
            <w:tcW w:w="6804" w:type="dxa"/>
          </w:tcPr>
          <w:p w14:paraId="11876F72"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 xml:space="preserve">Sums of money due to the PCC but unpaid </w:t>
            </w:r>
            <w:proofErr w:type="gramStart"/>
            <w:r w:rsidRPr="00A71AF8">
              <w:rPr>
                <w:rFonts w:cs="Arial"/>
                <w:sz w:val="18"/>
                <w:szCs w:val="18"/>
                <w:lang w:eastAsia="en-GB"/>
              </w:rPr>
              <w:t>at</w:t>
            </w:r>
            <w:proofErr w:type="gramEnd"/>
            <w:r w:rsidRPr="00A71AF8">
              <w:rPr>
                <w:rFonts w:cs="Arial"/>
                <w:sz w:val="18"/>
                <w:szCs w:val="18"/>
                <w:lang w:eastAsia="en-GB"/>
              </w:rPr>
              <w:t xml:space="preserve"> 31 March.</w:t>
            </w:r>
          </w:p>
        </w:tc>
      </w:tr>
      <w:tr w:rsidR="00A71AF8" w:rsidRPr="00A71AF8" w14:paraId="09F5F699" w14:textId="77777777" w:rsidTr="00493AFA">
        <w:tc>
          <w:tcPr>
            <w:tcW w:w="2694" w:type="dxa"/>
          </w:tcPr>
          <w:p w14:paraId="71F12BE3"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Depreciation</w:t>
            </w:r>
          </w:p>
        </w:tc>
        <w:tc>
          <w:tcPr>
            <w:tcW w:w="6804" w:type="dxa"/>
          </w:tcPr>
          <w:p w14:paraId="4C2D8938"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The measure of the wearing out, consumption, or other reduction in the useful economic life of Property, Plant and Equipment.</w:t>
            </w:r>
          </w:p>
        </w:tc>
      </w:tr>
      <w:tr w:rsidR="00A71AF8" w:rsidRPr="00A71AF8" w14:paraId="64206174" w14:textId="77777777" w:rsidTr="00493AFA">
        <w:tc>
          <w:tcPr>
            <w:tcW w:w="2694" w:type="dxa"/>
          </w:tcPr>
          <w:p w14:paraId="3C020979" w14:textId="77777777" w:rsidR="00A71AF8" w:rsidRPr="00A71AF8" w:rsidRDefault="00A71AF8" w:rsidP="005E6E22">
            <w:pPr>
              <w:tabs>
                <w:tab w:val="left" w:pos="34"/>
              </w:tabs>
              <w:spacing w:before="110" w:after="110"/>
              <w:ind w:left="0"/>
              <w:jc w:val="left"/>
              <w:rPr>
                <w:rFonts w:cs="Arial"/>
                <w:sz w:val="18"/>
                <w:szCs w:val="18"/>
                <w:lang w:eastAsia="en-GB"/>
              </w:rPr>
            </w:pPr>
            <w:r w:rsidRPr="00A71AF8">
              <w:rPr>
                <w:rFonts w:cs="Arial"/>
                <w:sz w:val="18"/>
                <w:szCs w:val="18"/>
                <w:lang w:eastAsia="en-GB"/>
              </w:rPr>
              <w:t>Direct Revenue Financing</w:t>
            </w:r>
          </w:p>
        </w:tc>
        <w:tc>
          <w:tcPr>
            <w:tcW w:w="6804" w:type="dxa"/>
          </w:tcPr>
          <w:p w14:paraId="35324225"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This refers to financing of capital expenditure directly from revenue rather than loans or other sources.</w:t>
            </w:r>
          </w:p>
        </w:tc>
      </w:tr>
      <w:tr w:rsidR="00A71AF8" w:rsidRPr="00A71AF8" w14:paraId="5D3C6DE3" w14:textId="77777777" w:rsidTr="00493AFA">
        <w:tc>
          <w:tcPr>
            <w:tcW w:w="2694" w:type="dxa"/>
          </w:tcPr>
          <w:p w14:paraId="49477B14"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Earmarked Reserves</w:t>
            </w:r>
          </w:p>
        </w:tc>
        <w:tc>
          <w:tcPr>
            <w:tcW w:w="6804" w:type="dxa"/>
          </w:tcPr>
          <w:p w14:paraId="5649833C"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The elements of total PCC’s Reserves, which are retained for specific purposes.</w:t>
            </w:r>
          </w:p>
        </w:tc>
      </w:tr>
      <w:tr w:rsidR="00A71AF8" w:rsidRPr="00A71AF8" w14:paraId="12289AD6" w14:textId="77777777" w:rsidTr="00493AFA">
        <w:tc>
          <w:tcPr>
            <w:tcW w:w="2694" w:type="dxa"/>
          </w:tcPr>
          <w:p w14:paraId="7250762D" w14:textId="77777777" w:rsidR="00A71AF8" w:rsidRPr="00A71AF8" w:rsidRDefault="00A71AF8" w:rsidP="005E6E22">
            <w:pPr>
              <w:tabs>
                <w:tab w:val="left" w:pos="34"/>
              </w:tabs>
              <w:spacing w:before="110" w:after="110"/>
              <w:ind w:left="0"/>
              <w:rPr>
                <w:rFonts w:cs="Arial"/>
                <w:sz w:val="18"/>
                <w:szCs w:val="18"/>
                <w:lang w:eastAsia="en-GB"/>
              </w:rPr>
            </w:pPr>
            <w:proofErr w:type="spellStart"/>
            <w:r w:rsidRPr="00A71AF8">
              <w:rPr>
                <w:rFonts w:cs="Arial"/>
                <w:sz w:val="18"/>
                <w:szCs w:val="18"/>
                <w:lang w:eastAsia="en-GB"/>
              </w:rPr>
              <w:t>EMOpSS</w:t>
            </w:r>
            <w:proofErr w:type="spellEnd"/>
          </w:p>
        </w:tc>
        <w:tc>
          <w:tcPr>
            <w:tcW w:w="6804" w:type="dxa"/>
          </w:tcPr>
          <w:p w14:paraId="13D29EF3"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East Midlands Operational and Support Service.</w:t>
            </w:r>
          </w:p>
        </w:tc>
      </w:tr>
      <w:tr w:rsidR="00A71AF8" w:rsidRPr="00A71AF8" w14:paraId="73CA14D2" w14:textId="77777777" w:rsidTr="00493AFA">
        <w:tc>
          <w:tcPr>
            <w:tcW w:w="2694" w:type="dxa"/>
          </w:tcPr>
          <w:p w14:paraId="3AC8ACF4"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EMSOU</w:t>
            </w:r>
          </w:p>
        </w:tc>
        <w:tc>
          <w:tcPr>
            <w:tcW w:w="6804" w:type="dxa"/>
          </w:tcPr>
          <w:p w14:paraId="3F9FE2BC"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East Midland Special Operations Unit.</w:t>
            </w:r>
          </w:p>
        </w:tc>
      </w:tr>
      <w:tr w:rsidR="00A060A9" w:rsidRPr="00A71AF8" w14:paraId="3113C58A" w14:textId="77777777" w:rsidTr="00493AFA">
        <w:tc>
          <w:tcPr>
            <w:tcW w:w="2694" w:type="dxa"/>
          </w:tcPr>
          <w:p w14:paraId="2A8DA3EB" w14:textId="77777777" w:rsidR="00A060A9" w:rsidRPr="00A71AF8" w:rsidRDefault="00A060A9" w:rsidP="005E6E22">
            <w:pPr>
              <w:tabs>
                <w:tab w:val="left" w:pos="34"/>
              </w:tabs>
              <w:spacing w:before="110" w:after="110"/>
              <w:ind w:left="0"/>
              <w:rPr>
                <w:rFonts w:cs="Arial"/>
                <w:sz w:val="18"/>
                <w:szCs w:val="18"/>
                <w:lang w:eastAsia="en-GB"/>
              </w:rPr>
            </w:pPr>
            <w:r>
              <w:rPr>
                <w:rFonts w:cs="Arial"/>
                <w:sz w:val="18"/>
                <w:szCs w:val="18"/>
                <w:lang w:eastAsia="en-GB"/>
              </w:rPr>
              <w:t>EMCJS</w:t>
            </w:r>
          </w:p>
        </w:tc>
        <w:tc>
          <w:tcPr>
            <w:tcW w:w="6804" w:type="dxa"/>
          </w:tcPr>
          <w:p w14:paraId="16D629F1" w14:textId="77777777" w:rsidR="00A060A9" w:rsidRPr="00A71AF8" w:rsidRDefault="00A060A9" w:rsidP="005E6E22">
            <w:pPr>
              <w:tabs>
                <w:tab w:val="left" w:pos="34"/>
              </w:tabs>
              <w:spacing w:before="110" w:after="110"/>
              <w:ind w:left="0"/>
              <w:rPr>
                <w:rFonts w:cs="Arial"/>
                <w:sz w:val="18"/>
                <w:szCs w:val="18"/>
                <w:lang w:eastAsia="en-GB"/>
              </w:rPr>
            </w:pPr>
            <w:r>
              <w:rPr>
                <w:rFonts w:cs="Arial"/>
                <w:sz w:val="18"/>
                <w:szCs w:val="18"/>
                <w:lang w:eastAsia="en-GB"/>
              </w:rPr>
              <w:t>East Midlands Criminal Justice Service.</w:t>
            </w:r>
          </w:p>
        </w:tc>
      </w:tr>
      <w:tr w:rsidR="00A71AF8" w:rsidRPr="00A71AF8" w14:paraId="383F1BB6" w14:textId="77777777" w:rsidTr="00493AFA">
        <w:tc>
          <w:tcPr>
            <w:tcW w:w="2694" w:type="dxa"/>
          </w:tcPr>
          <w:p w14:paraId="5E8E0171"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Finance lease</w:t>
            </w:r>
          </w:p>
        </w:tc>
        <w:tc>
          <w:tcPr>
            <w:tcW w:w="6804" w:type="dxa"/>
          </w:tcPr>
          <w:p w14:paraId="08DA42BE"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Where the conditions of the lease amount to recognising all the costs of an asset but legal title is with a third party.</w:t>
            </w:r>
          </w:p>
        </w:tc>
      </w:tr>
      <w:tr w:rsidR="00A71AF8" w:rsidRPr="00A71AF8" w14:paraId="260FDEE7" w14:textId="77777777" w:rsidTr="00493AFA">
        <w:tc>
          <w:tcPr>
            <w:tcW w:w="2694" w:type="dxa"/>
          </w:tcPr>
          <w:p w14:paraId="6816E0CB"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Financial instruments</w:t>
            </w:r>
          </w:p>
        </w:tc>
        <w:tc>
          <w:tcPr>
            <w:tcW w:w="6804" w:type="dxa"/>
          </w:tcPr>
          <w:p w14:paraId="50BAB71E"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Financial instruments are contracts that give rise to a financial asset of one entity and a financial liability of another.  For local authorities, this will normally mean contracts which involve the right to transfer cash or other financial assets.</w:t>
            </w:r>
          </w:p>
        </w:tc>
      </w:tr>
      <w:tr w:rsidR="00A71AF8" w:rsidRPr="00A71AF8" w14:paraId="3E19B481" w14:textId="77777777" w:rsidTr="00493AFA">
        <w:tc>
          <w:tcPr>
            <w:tcW w:w="2694" w:type="dxa"/>
          </w:tcPr>
          <w:p w14:paraId="49E71810"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lastRenderedPageBreak/>
              <w:t>Flexi Time</w:t>
            </w:r>
          </w:p>
        </w:tc>
        <w:tc>
          <w:tcPr>
            <w:tcW w:w="6804" w:type="dxa"/>
          </w:tcPr>
          <w:p w14:paraId="4192F6FA"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Police Staff may utilise the flexi time scheme to accrue additional hours worked that are held pending their use at a future date.</w:t>
            </w:r>
          </w:p>
        </w:tc>
      </w:tr>
      <w:tr w:rsidR="00A71AF8" w:rsidRPr="00A71AF8" w14:paraId="7FAD1CCA" w14:textId="77777777" w:rsidTr="00493AFA">
        <w:tc>
          <w:tcPr>
            <w:tcW w:w="2694" w:type="dxa"/>
          </w:tcPr>
          <w:p w14:paraId="7B2E90FA"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FRS</w:t>
            </w:r>
          </w:p>
        </w:tc>
        <w:tc>
          <w:tcPr>
            <w:tcW w:w="6804" w:type="dxa"/>
          </w:tcPr>
          <w:p w14:paraId="447CB809"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Financial Reporting Standards, as agreed by the UK accountancy profession and the Accounting Standards Board.</w:t>
            </w:r>
          </w:p>
        </w:tc>
      </w:tr>
      <w:tr w:rsidR="00A71AF8" w:rsidRPr="00A71AF8" w14:paraId="07B002BF" w14:textId="77777777" w:rsidTr="00493AFA">
        <w:tc>
          <w:tcPr>
            <w:tcW w:w="2694" w:type="dxa"/>
          </w:tcPr>
          <w:p w14:paraId="2F366453"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 xml:space="preserve">Government Grants </w:t>
            </w:r>
          </w:p>
        </w:tc>
        <w:tc>
          <w:tcPr>
            <w:tcW w:w="6804" w:type="dxa"/>
          </w:tcPr>
          <w:p w14:paraId="54B39034"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Payments by Central Government towards the PCC’s expenditure. They are receivable in respect of both revenue and capital expenditure.</w:t>
            </w:r>
          </w:p>
        </w:tc>
      </w:tr>
      <w:tr w:rsidR="00A71AF8" w:rsidRPr="00A71AF8" w14:paraId="56AEB12B" w14:textId="77777777" w:rsidTr="00493AFA">
        <w:tc>
          <w:tcPr>
            <w:tcW w:w="2694" w:type="dxa"/>
          </w:tcPr>
          <w:p w14:paraId="0666036D"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IFRS</w:t>
            </w:r>
          </w:p>
        </w:tc>
        <w:tc>
          <w:tcPr>
            <w:tcW w:w="6804" w:type="dxa"/>
          </w:tcPr>
          <w:p w14:paraId="129E1C41"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International Financial Reporting Standards: the accounting standards which determine the production and disclosure of financial statements.</w:t>
            </w:r>
          </w:p>
        </w:tc>
      </w:tr>
      <w:tr w:rsidR="00A71AF8" w:rsidRPr="00A71AF8" w14:paraId="74293B63" w14:textId="77777777" w:rsidTr="00493AFA">
        <w:tc>
          <w:tcPr>
            <w:tcW w:w="2694" w:type="dxa"/>
          </w:tcPr>
          <w:p w14:paraId="06CFAA5F"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Impairment</w:t>
            </w:r>
          </w:p>
        </w:tc>
        <w:tc>
          <w:tcPr>
            <w:tcW w:w="6804" w:type="dxa"/>
          </w:tcPr>
          <w:p w14:paraId="67C7B9A1"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An adjustment to the value of long-term assets.</w:t>
            </w:r>
          </w:p>
        </w:tc>
      </w:tr>
      <w:tr w:rsidR="00A71AF8" w:rsidRPr="00A71AF8" w14:paraId="4D3218D5" w14:textId="77777777" w:rsidTr="00493AFA">
        <w:tc>
          <w:tcPr>
            <w:tcW w:w="2694" w:type="dxa"/>
          </w:tcPr>
          <w:p w14:paraId="6CD8465D"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ISG</w:t>
            </w:r>
          </w:p>
        </w:tc>
        <w:tc>
          <w:tcPr>
            <w:tcW w:w="6804" w:type="dxa"/>
          </w:tcPr>
          <w:p w14:paraId="4010524D"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Integrated Scheme of Governance</w:t>
            </w:r>
          </w:p>
        </w:tc>
      </w:tr>
      <w:tr w:rsidR="00A71AF8" w:rsidRPr="00A71AF8" w14:paraId="72EAE7E3" w14:textId="77777777" w:rsidTr="00493AFA">
        <w:tc>
          <w:tcPr>
            <w:tcW w:w="2694" w:type="dxa"/>
          </w:tcPr>
          <w:p w14:paraId="15EF7A73"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JIAC</w:t>
            </w:r>
          </w:p>
        </w:tc>
        <w:tc>
          <w:tcPr>
            <w:tcW w:w="6804" w:type="dxa"/>
          </w:tcPr>
          <w:p w14:paraId="1F3943CE"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Joint Independent Audit Committee</w:t>
            </w:r>
          </w:p>
        </w:tc>
      </w:tr>
      <w:tr w:rsidR="00A71AF8" w:rsidRPr="00A71AF8" w14:paraId="6953362E" w14:textId="77777777" w:rsidTr="00493AFA">
        <w:tc>
          <w:tcPr>
            <w:tcW w:w="2694" w:type="dxa"/>
          </w:tcPr>
          <w:p w14:paraId="38CED631"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Long-term Debtors</w:t>
            </w:r>
          </w:p>
        </w:tc>
        <w:tc>
          <w:tcPr>
            <w:tcW w:w="6804" w:type="dxa"/>
          </w:tcPr>
          <w:p w14:paraId="71FBF0D6"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 xml:space="preserve">Sums of money due to the PCC originally repayable within a period </w:t>
            </w:r>
            <w:proofErr w:type="gramStart"/>
            <w:r w:rsidRPr="00A71AF8">
              <w:rPr>
                <w:rFonts w:cs="Arial"/>
                <w:sz w:val="18"/>
                <w:szCs w:val="18"/>
                <w:lang w:eastAsia="en-GB"/>
              </w:rPr>
              <w:t>in excess of</w:t>
            </w:r>
            <w:proofErr w:type="gramEnd"/>
            <w:r w:rsidRPr="00A71AF8">
              <w:rPr>
                <w:rFonts w:cs="Arial"/>
                <w:sz w:val="18"/>
                <w:szCs w:val="18"/>
                <w:lang w:eastAsia="en-GB"/>
              </w:rPr>
              <w:t xml:space="preserve"> twelve months and where payment is not due until future years.</w:t>
            </w:r>
          </w:p>
        </w:tc>
      </w:tr>
      <w:tr w:rsidR="00A71AF8" w:rsidRPr="00A71AF8" w14:paraId="79883945" w14:textId="77777777" w:rsidTr="00493AFA">
        <w:tc>
          <w:tcPr>
            <w:tcW w:w="2694" w:type="dxa"/>
          </w:tcPr>
          <w:p w14:paraId="3852670A"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Materiality</w:t>
            </w:r>
          </w:p>
        </w:tc>
        <w:tc>
          <w:tcPr>
            <w:tcW w:w="6804" w:type="dxa"/>
          </w:tcPr>
          <w:p w14:paraId="4C47CCCA"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An item that is not material will not be relevant, cannot influence a user’s decision and need not be reported in the financial statements.</w:t>
            </w:r>
          </w:p>
        </w:tc>
      </w:tr>
      <w:tr w:rsidR="00A71AF8" w:rsidRPr="00A71AF8" w14:paraId="4A55C684" w14:textId="77777777" w:rsidTr="00493AFA">
        <w:tc>
          <w:tcPr>
            <w:tcW w:w="2694" w:type="dxa"/>
          </w:tcPr>
          <w:p w14:paraId="7A0A0EBD" w14:textId="77777777" w:rsidR="00A71AF8" w:rsidRPr="00A71AF8" w:rsidRDefault="00A71AF8" w:rsidP="005E6E22">
            <w:pPr>
              <w:tabs>
                <w:tab w:val="left" w:pos="34"/>
              </w:tabs>
              <w:spacing w:before="110" w:after="110"/>
              <w:ind w:left="0"/>
              <w:jc w:val="left"/>
              <w:rPr>
                <w:rFonts w:cs="Arial"/>
                <w:sz w:val="18"/>
                <w:szCs w:val="18"/>
                <w:lang w:eastAsia="en-GB"/>
              </w:rPr>
            </w:pPr>
            <w:r w:rsidRPr="00A71AF8">
              <w:rPr>
                <w:rFonts w:cs="Arial"/>
                <w:sz w:val="18"/>
                <w:szCs w:val="18"/>
                <w:lang w:eastAsia="en-GB"/>
              </w:rPr>
              <w:t>Minimum Revenue Provision (MRP)</w:t>
            </w:r>
          </w:p>
        </w:tc>
        <w:tc>
          <w:tcPr>
            <w:tcW w:w="6804" w:type="dxa"/>
          </w:tcPr>
          <w:p w14:paraId="6EE46078"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The statutory requirement to set aside a minimum revenue provision for the repayment of external loans.</w:t>
            </w:r>
          </w:p>
        </w:tc>
      </w:tr>
      <w:tr w:rsidR="00A71AF8" w:rsidRPr="00A71AF8" w14:paraId="5C5356E3" w14:textId="77777777" w:rsidTr="00493AFA">
        <w:tc>
          <w:tcPr>
            <w:tcW w:w="2694" w:type="dxa"/>
          </w:tcPr>
          <w:p w14:paraId="57AD9795"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 xml:space="preserve">Net Book Value </w:t>
            </w:r>
          </w:p>
        </w:tc>
        <w:tc>
          <w:tcPr>
            <w:tcW w:w="6804" w:type="dxa"/>
          </w:tcPr>
          <w:p w14:paraId="399D22F8"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Long-term assets are depreciated in accordance with their asset life.  The net book value is the value remaining after cumulative depreciation has been taken away.</w:t>
            </w:r>
          </w:p>
        </w:tc>
      </w:tr>
      <w:tr w:rsidR="00A71AF8" w:rsidRPr="00A71AF8" w14:paraId="7BD5D610" w14:textId="77777777" w:rsidTr="00493AFA">
        <w:tc>
          <w:tcPr>
            <w:tcW w:w="2694" w:type="dxa"/>
          </w:tcPr>
          <w:p w14:paraId="39801322" w14:textId="77777777" w:rsidR="00A71AF8" w:rsidRPr="00A71AF8" w:rsidRDefault="00A71AF8" w:rsidP="005E6E22">
            <w:pPr>
              <w:tabs>
                <w:tab w:val="left" w:pos="34"/>
              </w:tabs>
              <w:spacing w:before="110" w:after="110"/>
              <w:ind w:left="0"/>
              <w:rPr>
                <w:rFonts w:cs="Arial"/>
                <w:sz w:val="18"/>
                <w:szCs w:val="18"/>
                <w:lang w:eastAsia="en-GB"/>
              </w:rPr>
            </w:pPr>
            <w:proofErr w:type="gramStart"/>
            <w:r w:rsidRPr="00A71AF8">
              <w:rPr>
                <w:rFonts w:cs="Arial"/>
                <w:sz w:val="18"/>
                <w:szCs w:val="18"/>
                <w:lang w:eastAsia="en-GB"/>
              </w:rPr>
              <w:t>Non Domestic</w:t>
            </w:r>
            <w:proofErr w:type="gramEnd"/>
            <w:r w:rsidRPr="00A71AF8">
              <w:rPr>
                <w:rFonts w:cs="Arial"/>
                <w:sz w:val="18"/>
                <w:szCs w:val="18"/>
                <w:lang w:eastAsia="en-GB"/>
              </w:rPr>
              <w:t xml:space="preserve"> Rates</w:t>
            </w:r>
          </w:p>
        </w:tc>
        <w:tc>
          <w:tcPr>
            <w:tcW w:w="6804" w:type="dxa"/>
          </w:tcPr>
          <w:p w14:paraId="016ADE11"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Rates levied on business properties, collected by District Councils, which are distributed between local authorities as income.</w:t>
            </w:r>
          </w:p>
        </w:tc>
      </w:tr>
      <w:tr w:rsidR="00A71AF8" w:rsidRPr="00A71AF8" w14:paraId="4D23B1C5" w14:textId="77777777" w:rsidTr="00493AFA">
        <w:tc>
          <w:tcPr>
            <w:tcW w:w="2694" w:type="dxa"/>
          </w:tcPr>
          <w:p w14:paraId="5582243D" w14:textId="77777777" w:rsidR="00A71AF8" w:rsidRPr="00A71AF8" w:rsidRDefault="00A71AF8" w:rsidP="005E6E22">
            <w:pPr>
              <w:tabs>
                <w:tab w:val="left" w:pos="34"/>
              </w:tabs>
              <w:spacing w:before="110" w:after="110"/>
              <w:ind w:left="0"/>
              <w:rPr>
                <w:rFonts w:cs="Arial"/>
                <w:sz w:val="18"/>
                <w:szCs w:val="18"/>
                <w:lang w:eastAsia="en-GB"/>
              </w:rPr>
            </w:pPr>
            <w:proofErr w:type="gramStart"/>
            <w:r w:rsidRPr="00A71AF8">
              <w:rPr>
                <w:rFonts w:cs="Arial"/>
                <w:sz w:val="18"/>
                <w:szCs w:val="18"/>
                <w:lang w:eastAsia="en-GB"/>
              </w:rPr>
              <w:t>Non Operational</w:t>
            </w:r>
            <w:proofErr w:type="gramEnd"/>
            <w:r w:rsidRPr="00A71AF8">
              <w:rPr>
                <w:rFonts w:cs="Arial"/>
                <w:sz w:val="18"/>
                <w:szCs w:val="18"/>
                <w:lang w:eastAsia="en-GB"/>
              </w:rPr>
              <w:t xml:space="preserve"> Assets</w:t>
            </w:r>
          </w:p>
        </w:tc>
        <w:tc>
          <w:tcPr>
            <w:tcW w:w="6804" w:type="dxa"/>
          </w:tcPr>
          <w:p w14:paraId="7CB52A46"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Property, Plant and Equipment held by the PCC Group but not directly occupied, used or consumed in the delivery of services.  These include buildings under construction and surplus assets.</w:t>
            </w:r>
          </w:p>
        </w:tc>
      </w:tr>
      <w:tr w:rsidR="00A71AF8" w:rsidRPr="00A71AF8" w14:paraId="4A83682F" w14:textId="77777777" w:rsidTr="00493AFA">
        <w:tc>
          <w:tcPr>
            <w:tcW w:w="2694" w:type="dxa"/>
          </w:tcPr>
          <w:p w14:paraId="6D67B399"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OJEU</w:t>
            </w:r>
          </w:p>
        </w:tc>
        <w:tc>
          <w:tcPr>
            <w:tcW w:w="6804" w:type="dxa"/>
          </w:tcPr>
          <w:p w14:paraId="3E61D70A"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Official Journal of the European Union.</w:t>
            </w:r>
          </w:p>
        </w:tc>
      </w:tr>
      <w:tr w:rsidR="00A71AF8" w:rsidRPr="00A71AF8" w14:paraId="0C94A8B7" w14:textId="77777777" w:rsidTr="00493AFA">
        <w:tc>
          <w:tcPr>
            <w:tcW w:w="2694" w:type="dxa"/>
          </w:tcPr>
          <w:p w14:paraId="2E40ACD7"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Operating lease</w:t>
            </w:r>
          </w:p>
        </w:tc>
        <w:tc>
          <w:tcPr>
            <w:tcW w:w="6804" w:type="dxa"/>
          </w:tcPr>
          <w:p w14:paraId="02337ED0"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A lease where the asset is only used for part of its useful life, and lease payments amount to rental of the asset.</w:t>
            </w:r>
          </w:p>
        </w:tc>
      </w:tr>
      <w:tr w:rsidR="00A71AF8" w:rsidRPr="00A71AF8" w14:paraId="5A4FBB04" w14:textId="77777777" w:rsidTr="00493AFA">
        <w:tc>
          <w:tcPr>
            <w:tcW w:w="2694" w:type="dxa"/>
          </w:tcPr>
          <w:p w14:paraId="3E191BF8"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PCC Group</w:t>
            </w:r>
          </w:p>
        </w:tc>
        <w:tc>
          <w:tcPr>
            <w:tcW w:w="6804" w:type="dxa"/>
          </w:tcPr>
          <w:p w14:paraId="6452DF5C"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The Police and Crime Commissioner and the Chief Constable are separate legal entities.  They are part of the same PCC Group whose combined accounts are presented collectively.</w:t>
            </w:r>
          </w:p>
        </w:tc>
      </w:tr>
      <w:tr w:rsidR="00A71AF8" w:rsidRPr="00A71AF8" w14:paraId="126B9B14" w14:textId="77777777" w:rsidTr="00493AFA">
        <w:tc>
          <w:tcPr>
            <w:tcW w:w="2694" w:type="dxa"/>
          </w:tcPr>
          <w:p w14:paraId="3FC66630"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PEEL</w:t>
            </w:r>
          </w:p>
        </w:tc>
        <w:tc>
          <w:tcPr>
            <w:tcW w:w="6804" w:type="dxa"/>
          </w:tcPr>
          <w:p w14:paraId="394B2232"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Police Effectiveness Efficiency and Legitimacy board.</w:t>
            </w:r>
          </w:p>
        </w:tc>
      </w:tr>
      <w:tr w:rsidR="00A71AF8" w:rsidRPr="00A71AF8" w14:paraId="26F39F93" w14:textId="77777777" w:rsidTr="00493AFA">
        <w:trPr>
          <w:trHeight w:val="930"/>
        </w:trPr>
        <w:tc>
          <w:tcPr>
            <w:tcW w:w="2694" w:type="dxa"/>
          </w:tcPr>
          <w:p w14:paraId="4529099C"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Precept</w:t>
            </w:r>
          </w:p>
        </w:tc>
        <w:tc>
          <w:tcPr>
            <w:tcW w:w="6804" w:type="dxa"/>
          </w:tcPr>
          <w:p w14:paraId="52627A1E" w14:textId="77777777" w:rsidR="00A71AF8" w:rsidRPr="00A71AF8" w:rsidRDefault="00A71AF8" w:rsidP="005E6E22">
            <w:pPr>
              <w:tabs>
                <w:tab w:val="left" w:pos="34"/>
              </w:tabs>
              <w:spacing w:before="110" w:after="110"/>
              <w:ind w:left="0"/>
              <w:rPr>
                <w:rFonts w:cs="Arial"/>
                <w:sz w:val="18"/>
                <w:szCs w:val="18"/>
                <w:lang w:eastAsia="en-GB"/>
              </w:rPr>
            </w:pPr>
            <w:r w:rsidRPr="00A71AF8">
              <w:rPr>
                <w:rFonts w:cs="Arial"/>
                <w:sz w:val="18"/>
                <w:szCs w:val="18"/>
                <w:lang w:eastAsia="en-GB"/>
              </w:rPr>
              <w:t xml:space="preserve">The amount levied by one authority which is collected by another, </w:t>
            </w:r>
            <w:proofErr w:type="gramStart"/>
            <w:r w:rsidRPr="00A71AF8">
              <w:rPr>
                <w:rFonts w:cs="Arial"/>
                <w:sz w:val="18"/>
                <w:szCs w:val="18"/>
                <w:lang w:eastAsia="en-GB"/>
              </w:rPr>
              <w:t>e.g.</w:t>
            </w:r>
            <w:proofErr w:type="gramEnd"/>
            <w:r w:rsidRPr="00A71AF8">
              <w:rPr>
                <w:rFonts w:cs="Arial"/>
                <w:sz w:val="18"/>
                <w:szCs w:val="18"/>
                <w:lang w:eastAsia="en-GB"/>
              </w:rPr>
              <w:t xml:space="preserve"> the PCC Group is the precepting authority and the District Councils are the collecting authorities.</w:t>
            </w:r>
          </w:p>
        </w:tc>
      </w:tr>
      <w:tr w:rsidR="00D71895" w:rsidRPr="00A71AF8" w14:paraId="47794BF3" w14:textId="77777777" w:rsidTr="00493AFA">
        <w:trPr>
          <w:trHeight w:val="930"/>
        </w:trPr>
        <w:tc>
          <w:tcPr>
            <w:tcW w:w="2694" w:type="dxa"/>
          </w:tcPr>
          <w:p w14:paraId="40380D14" w14:textId="517731D8" w:rsidR="00D71895" w:rsidRPr="00A71AF8" w:rsidRDefault="00D71895" w:rsidP="00D71895">
            <w:pPr>
              <w:tabs>
                <w:tab w:val="left" w:pos="34"/>
              </w:tabs>
              <w:spacing w:before="110" w:after="110"/>
              <w:ind w:left="0"/>
              <w:rPr>
                <w:rFonts w:cs="Arial"/>
                <w:sz w:val="18"/>
                <w:szCs w:val="18"/>
                <w:lang w:eastAsia="en-GB"/>
              </w:rPr>
            </w:pPr>
            <w:r>
              <w:rPr>
                <w:rFonts w:eastAsia="MS Mincho"/>
              </w:rPr>
              <w:t>PUP</w:t>
            </w:r>
          </w:p>
        </w:tc>
        <w:tc>
          <w:tcPr>
            <w:tcW w:w="6804" w:type="dxa"/>
          </w:tcPr>
          <w:p w14:paraId="415A7CFA" w14:textId="64C00A1A" w:rsidR="00D71895" w:rsidRPr="00A71AF8" w:rsidRDefault="00D71895" w:rsidP="00D71895">
            <w:pPr>
              <w:tabs>
                <w:tab w:val="left" w:pos="34"/>
              </w:tabs>
              <w:spacing w:before="110" w:after="110"/>
              <w:ind w:left="0"/>
              <w:rPr>
                <w:rFonts w:cs="Arial"/>
                <w:sz w:val="18"/>
                <w:szCs w:val="18"/>
                <w:lang w:eastAsia="en-GB"/>
              </w:rPr>
            </w:pPr>
            <w:r>
              <w:rPr>
                <w:rFonts w:eastAsia="MS Mincho"/>
              </w:rPr>
              <w:t>Police Uplift Programme – nationwide recruitment programme of an additional 20,000 officers</w:t>
            </w:r>
          </w:p>
        </w:tc>
      </w:tr>
      <w:tr w:rsidR="00D71895" w:rsidRPr="00A71AF8" w14:paraId="20AF8B15" w14:textId="77777777" w:rsidTr="00493AFA">
        <w:trPr>
          <w:trHeight w:val="844"/>
        </w:trPr>
        <w:tc>
          <w:tcPr>
            <w:tcW w:w="2694" w:type="dxa"/>
          </w:tcPr>
          <w:p w14:paraId="6B3D9999" w14:textId="77777777" w:rsidR="00D71895" w:rsidRPr="00A71AF8" w:rsidRDefault="00D71895" w:rsidP="00D71895">
            <w:pPr>
              <w:tabs>
                <w:tab w:val="left" w:pos="34"/>
              </w:tabs>
              <w:spacing w:before="110" w:after="110"/>
              <w:ind w:left="0"/>
              <w:rPr>
                <w:rFonts w:cs="Arial"/>
                <w:sz w:val="18"/>
                <w:szCs w:val="18"/>
                <w:lang w:eastAsia="en-GB"/>
              </w:rPr>
            </w:pPr>
            <w:r w:rsidRPr="00A71AF8">
              <w:rPr>
                <w:rFonts w:cs="Arial"/>
                <w:sz w:val="18"/>
                <w:szCs w:val="18"/>
                <w:lang w:eastAsia="en-GB"/>
              </w:rPr>
              <w:t>Revaluation Reserve</w:t>
            </w:r>
          </w:p>
        </w:tc>
        <w:tc>
          <w:tcPr>
            <w:tcW w:w="6804" w:type="dxa"/>
          </w:tcPr>
          <w:p w14:paraId="353A828F" w14:textId="77777777" w:rsidR="00D71895" w:rsidRPr="00A71AF8" w:rsidRDefault="00D71895" w:rsidP="00D71895">
            <w:pPr>
              <w:tabs>
                <w:tab w:val="left" w:pos="34"/>
              </w:tabs>
              <w:spacing w:before="110" w:after="110"/>
              <w:ind w:left="0"/>
              <w:rPr>
                <w:rFonts w:cs="Arial"/>
                <w:sz w:val="18"/>
                <w:szCs w:val="18"/>
                <w:lang w:eastAsia="en-GB"/>
              </w:rPr>
            </w:pPr>
            <w:r w:rsidRPr="00A71AF8">
              <w:rPr>
                <w:rFonts w:cs="Arial"/>
                <w:sz w:val="18"/>
                <w:szCs w:val="18"/>
                <w:lang w:eastAsia="en-GB"/>
              </w:rPr>
              <w:t>A reserve designed to represent the amount by which the current value of long-term assets carried in the Balance Sheet is greater, because they are carried at revalued amounts rather than depreciated historical cost.</w:t>
            </w:r>
          </w:p>
        </w:tc>
      </w:tr>
      <w:tr w:rsidR="00D71895" w:rsidRPr="00A71AF8" w14:paraId="21756DB1" w14:textId="77777777" w:rsidTr="00493AFA">
        <w:tc>
          <w:tcPr>
            <w:tcW w:w="2694" w:type="dxa"/>
          </w:tcPr>
          <w:p w14:paraId="09776406" w14:textId="77777777" w:rsidR="00D71895" w:rsidRPr="00A71AF8" w:rsidRDefault="00D71895" w:rsidP="00D71895">
            <w:pPr>
              <w:tabs>
                <w:tab w:val="left" w:pos="34"/>
              </w:tabs>
              <w:spacing w:before="110" w:after="110"/>
              <w:ind w:left="0"/>
              <w:rPr>
                <w:rFonts w:cs="Arial"/>
                <w:sz w:val="18"/>
                <w:szCs w:val="18"/>
                <w:lang w:eastAsia="en-GB"/>
              </w:rPr>
            </w:pPr>
            <w:r w:rsidRPr="00A71AF8">
              <w:rPr>
                <w:rFonts w:cs="Arial"/>
                <w:sz w:val="18"/>
                <w:szCs w:val="18"/>
                <w:lang w:eastAsia="en-GB"/>
              </w:rPr>
              <w:t>Revenue Contributions</w:t>
            </w:r>
          </w:p>
        </w:tc>
        <w:tc>
          <w:tcPr>
            <w:tcW w:w="6804" w:type="dxa"/>
          </w:tcPr>
          <w:p w14:paraId="4444E0EB" w14:textId="77777777" w:rsidR="00D71895" w:rsidRPr="00A71AF8" w:rsidRDefault="00D71895" w:rsidP="00D71895">
            <w:pPr>
              <w:tabs>
                <w:tab w:val="left" w:pos="34"/>
              </w:tabs>
              <w:spacing w:before="110" w:after="110"/>
              <w:ind w:left="0"/>
              <w:rPr>
                <w:rFonts w:cs="Arial"/>
                <w:sz w:val="18"/>
                <w:szCs w:val="18"/>
                <w:lang w:eastAsia="en-GB"/>
              </w:rPr>
            </w:pPr>
            <w:r w:rsidRPr="00A71AF8">
              <w:rPr>
                <w:rFonts w:cs="Arial"/>
                <w:sz w:val="18"/>
                <w:szCs w:val="18"/>
                <w:lang w:eastAsia="en-GB"/>
              </w:rPr>
              <w:t>The financing of capital expenditure directly from revenue rather than from loans or other sources.</w:t>
            </w:r>
          </w:p>
        </w:tc>
      </w:tr>
      <w:tr w:rsidR="00D71895" w:rsidRPr="00A71AF8" w14:paraId="7A69E81F" w14:textId="77777777" w:rsidTr="00493AFA">
        <w:tc>
          <w:tcPr>
            <w:tcW w:w="2694" w:type="dxa"/>
          </w:tcPr>
          <w:p w14:paraId="30FDDC5E" w14:textId="77777777" w:rsidR="00D71895" w:rsidRPr="00A71AF8" w:rsidRDefault="00D71895" w:rsidP="00D71895">
            <w:pPr>
              <w:tabs>
                <w:tab w:val="left" w:pos="34"/>
              </w:tabs>
              <w:spacing w:before="120" w:after="120"/>
              <w:ind w:left="0"/>
              <w:rPr>
                <w:rFonts w:cs="Arial"/>
                <w:sz w:val="18"/>
                <w:szCs w:val="18"/>
                <w:lang w:eastAsia="en-GB"/>
              </w:rPr>
            </w:pPr>
            <w:r w:rsidRPr="00A71AF8">
              <w:rPr>
                <w:rFonts w:cs="Arial"/>
                <w:sz w:val="18"/>
                <w:szCs w:val="18"/>
                <w:lang w:eastAsia="en-GB"/>
              </w:rPr>
              <w:lastRenderedPageBreak/>
              <w:t>Revenue Expenditure</w:t>
            </w:r>
          </w:p>
        </w:tc>
        <w:tc>
          <w:tcPr>
            <w:tcW w:w="6804" w:type="dxa"/>
          </w:tcPr>
          <w:p w14:paraId="15FBDD6A" w14:textId="77777777" w:rsidR="00D71895" w:rsidRPr="00A71AF8" w:rsidRDefault="00D71895" w:rsidP="00D71895">
            <w:pPr>
              <w:tabs>
                <w:tab w:val="left" w:pos="34"/>
              </w:tabs>
              <w:spacing w:before="120" w:after="120"/>
              <w:ind w:left="0"/>
              <w:rPr>
                <w:rFonts w:cs="Arial"/>
                <w:sz w:val="18"/>
                <w:szCs w:val="18"/>
                <w:lang w:eastAsia="en-GB"/>
              </w:rPr>
            </w:pPr>
            <w:r w:rsidRPr="00A71AF8">
              <w:rPr>
                <w:rFonts w:cs="Arial"/>
                <w:sz w:val="18"/>
                <w:szCs w:val="18"/>
                <w:lang w:eastAsia="en-GB"/>
              </w:rPr>
              <w:t xml:space="preserve">The </w:t>
            </w:r>
            <w:proofErr w:type="gramStart"/>
            <w:r w:rsidRPr="00A71AF8">
              <w:rPr>
                <w:rFonts w:cs="Arial"/>
                <w:sz w:val="18"/>
                <w:szCs w:val="18"/>
                <w:lang w:eastAsia="en-GB"/>
              </w:rPr>
              <w:t>day to day</w:t>
            </w:r>
            <w:proofErr w:type="gramEnd"/>
            <w:r w:rsidRPr="00A71AF8">
              <w:rPr>
                <w:rFonts w:cs="Arial"/>
                <w:sz w:val="18"/>
                <w:szCs w:val="18"/>
                <w:lang w:eastAsia="en-GB"/>
              </w:rPr>
              <w:t xml:space="preserve"> expenditure of the PCC group on such items as employees and supplies and services.</w:t>
            </w:r>
          </w:p>
        </w:tc>
      </w:tr>
      <w:tr w:rsidR="00D71895" w:rsidRPr="00A71AF8" w14:paraId="1C85AF43" w14:textId="77777777" w:rsidTr="00493AFA">
        <w:tc>
          <w:tcPr>
            <w:tcW w:w="2694" w:type="dxa"/>
          </w:tcPr>
          <w:p w14:paraId="4BFAEB71" w14:textId="77777777" w:rsidR="00D71895" w:rsidRPr="00A71AF8" w:rsidRDefault="00D71895" w:rsidP="00D71895">
            <w:pPr>
              <w:tabs>
                <w:tab w:val="left" w:pos="34"/>
              </w:tabs>
              <w:spacing w:before="120" w:after="120"/>
              <w:ind w:left="0"/>
              <w:rPr>
                <w:rFonts w:cs="Arial"/>
                <w:sz w:val="18"/>
                <w:szCs w:val="18"/>
                <w:lang w:eastAsia="en-GB"/>
              </w:rPr>
            </w:pPr>
            <w:r w:rsidRPr="00A71AF8">
              <w:rPr>
                <w:rFonts w:cs="Arial"/>
                <w:sz w:val="18"/>
                <w:szCs w:val="18"/>
                <w:lang w:eastAsia="en-GB"/>
              </w:rPr>
              <w:t>Revenue Support Grant (RSG)</w:t>
            </w:r>
          </w:p>
        </w:tc>
        <w:tc>
          <w:tcPr>
            <w:tcW w:w="6804" w:type="dxa"/>
          </w:tcPr>
          <w:p w14:paraId="74272364" w14:textId="77777777" w:rsidR="00D71895" w:rsidRPr="00A71AF8" w:rsidRDefault="00D71895" w:rsidP="00D71895">
            <w:pPr>
              <w:tabs>
                <w:tab w:val="left" w:pos="34"/>
              </w:tabs>
              <w:spacing w:before="120" w:after="120"/>
              <w:ind w:left="0"/>
              <w:rPr>
                <w:rFonts w:cs="Arial"/>
                <w:sz w:val="18"/>
                <w:szCs w:val="18"/>
                <w:lang w:eastAsia="en-GB"/>
              </w:rPr>
            </w:pPr>
            <w:r w:rsidRPr="00A71AF8">
              <w:rPr>
                <w:rFonts w:cs="Arial"/>
                <w:sz w:val="18"/>
                <w:szCs w:val="18"/>
                <w:lang w:eastAsia="en-GB"/>
              </w:rPr>
              <w:t>Grant paid by Central Government in aid of service provision.</w:t>
            </w:r>
          </w:p>
        </w:tc>
      </w:tr>
      <w:tr w:rsidR="00D71895" w:rsidRPr="00A71AF8" w14:paraId="52B2F57B" w14:textId="77777777" w:rsidTr="00493AFA">
        <w:tc>
          <w:tcPr>
            <w:tcW w:w="2694" w:type="dxa"/>
          </w:tcPr>
          <w:p w14:paraId="4FA16199" w14:textId="77777777" w:rsidR="00D71895" w:rsidRPr="00A71AF8" w:rsidRDefault="00D71895" w:rsidP="00D71895">
            <w:pPr>
              <w:tabs>
                <w:tab w:val="left" w:pos="34"/>
              </w:tabs>
              <w:spacing w:before="120" w:after="120"/>
              <w:ind w:left="0"/>
              <w:rPr>
                <w:rFonts w:cs="Arial"/>
                <w:sz w:val="18"/>
                <w:szCs w:val="18"/>
                <w:lang w:eastAsia="en-GB"/>
              </w:rPr>
            </w:pPr>
            <w:proofErr w:type="gramStart"/>
            <w:r w:rsidRPr="00A71AF8">
              <w:rPr>
                <w:rFonts w:cs="Arial"/>
                <w:sz w:val="18"/>
                <w:szCs w:val="18"/>
                <w:lang w:eastAsia="en-GB"/>
              </w:rPr>
              <w:t>Section  22</w:t>
            </w:r>
            <w:proofErr w:type="gramEnd"/>
            <w:r w:rsidRPr="00A71AF8">
              <w:rPr>
                <w:rFonts w:cs="Arial"/>
                <w:sz w:val="18"/>
                <w:szCs w:val="18"/>
                <w:lang w:eastAsia="en-GB"/>
              </w:rPr>
              <w:t xml:space="preserve"> Agreement</w:t>
            </w:r>
          </w:p>
        </w:tc>
        <w:tc>
          <w:tcPr>
            <w:tcW w:w="6804" w:type="dxa"/>
          </w:tcPr>
          <w:p w14:paraId="7D2A16A0" w14:textId="77777777" w:rsidR="00D71895" w:rsidRPr="00A71AF8" w:rsidRDefault="00D71895" w:rsidP="00D71895">
            <w:pPr>
              <w:tabs>
                <w:tab w:val="left" w:pos="34"/>
              </w:tabs>
              <w:spacing w:before="120" w:after="120"/>
              <w:ind w:left="0"/>
              <w:rPr>
                <w:rFonts w:cs="Arial"/>
                <w:sz w:val="18"/>
                <w:szCs w:val="18"/>
                <w:lang w:eastAsia="en-GB"/>
              </w:rPr>
            </w:pPr>
            <w:r w:rsidRPr="00A71AF8">
              <w:rPr>
                <w:rFonts w:cs="Arial"/>
                <w:sz w:val="18"/>
                <w:szCs w:val="18"/>
                <w:lang w:eastAsia="en-GB"/>
              </w:rPr>
              <w:t>Section 22 of the Police Act 1996 provides for joint working between police forces and/or Police and Crime Commissioners where, in the opinion of the Chief Constable or the Commissioner, collaboration would deliver greater efficiency or effectiveness.</w:t>
            </w:r>
          </w:p>
        </w:tc>
      </w:tr>
      <w:tr w:rsidR="00D71895" w:rsidRPr="00A71AF8" w14:paraId="53DC376D" w14:textId="77777777" w:rsidTr="00493AFA">
        <w:tc>
          <w:tcPr>
            <w:tcW w:w="2694" w:type="dxa"/>
          </w:tcPr>
          <w:p w14:paraId="3680452D" w14:textId="77777777" w:rsidR="00D71895" w:rsidRPr="00A71AF8" w:rsidRDefault="00D71895" w:rsidP="00D71895">
            <w:pPr>
              <w:tabs>
                <w:tab w:val="left" w:pos="34"/>
              </w:tabs>
              <w:spacing w:before="120" w:after="120"/>
              <w:ind w:left="0"/>
              <w:jc w:val="left"/>
              <w:rPr>
                <w:rFonts w:cs="Arial"/>
                <w:sz w:val="18"/>
                <w:szCs w:val="18"/>
                <w:lang w:eastAsia="en-GB"/>
              </w:rPr>
            </w:pPr>
            <w:r w:rsidRPr="00A71AF8">
              <w:rPr>
                <w:rFonts w:cs="Arial"/>
                <w:sz w:val="18"/>
                <w:szCs w:val="18"/>
                <w:lang w:eastAsia="en-GB"/>
              </w:rPr>
              <w:t>Straight Line Depreciation</w:t>
            </w:r>
          </w:p>
        </w:tc>
        <w:tc>
          <w:tcPr>
            <w:tcW w:w="6804" w:type="dxa"/>
          </w:tcPr>
          <w:p w14:paraId="71EAB2DA" w14:textId="77777777" w:rsidR="00D71895" w:rsidRPr="00A71AF8" w:rsidRDefault="00D71895" w:rsidP="00D71895">
            <w:pPr>
              <w:tabs>
                <w:tab w:val="left" w:pos="34"/>
              </w:tabs>
              <w:spacing w:before="120" w:after="120"/>
              <w:ind w:left="0"/>
              <w:rPr>
                <w:rFonts w:cs="Arial"/>
                <w:sz w:val="18"/>
                <w:szCs w:val="18"/>
                <w:lang w:eastAsia="en-GB"/>
              </w:rPr>
            </w:pPr>
            <w:r w:rsidRPr="00A71AF8">
              <w:rPr>
                <w:rFonts w:cs="Arial"/>
                <w:sz w:val="18"/>
                <w:szCs w:val="18"/>
                <w:lang w:eastAsia="en-GB"/>
              </w:rPr>
              <w:t>The writing down of Property, Plant and Equipment values by an equal amount for each year of that asset’s life.</w:t>
            </w:r>
          </w:p>
        </w:tc>
      </w:tr>
      <w:tr w:rsidR="00D71895" w:rsidRPr="00A71AF8" w14:paraId="0E4DAF61" w14:textId="77777777" w:rsidTr="00493AFA">
        <w:tc>
          <w:tcPr>
            <w:tcW w:w="2694" w:type="dxa"/>
          </w:tcPr>
          <w:p w14:paraId="42472F88" w14:textId="77777777" w:rsidR="00D71895" w:rsidRPr="00A71AF8" w:rsidRDefault="00D71895" w:rsidP="00D71895">
            <w:pPr>
              <w:tabs>
                <w:tab w:val="left" w:pos="34"/>
              </w:tabs>
              <w:spacing w:before="120" w:after="120"/>
              <w:ind w:left="0"/>
              <w:rPr>
                <w:rFonts w:cs="Arial"/>
                <w:sz w:val="18"/>
                <w:szCs w:val="18"/>
                <w:lang w:eastAsia="en-GB"/>
              </w:rPr>
            </w:pPr>
            <w:r w:rsidRPr="00A71AF8">
              <w:rPr>
                <w:rFonts w:cs="Arial"/>
                <w:sz w:val="18"/>
                <w:szCs w:val="18"/>
                <w:lang w:eastAsia="en-GB"/>
              </w:rPr>
              <w:t>Strategic Partner</w:t>
            </w:r>
          </w:p>
        </w:tc>
        <w:tc>
          <w:tcPr>
            <w:tcW w:w="6804" w:type="dxa"/>
          </w:tcPr>
          <w:p w14:paraId="3FF75391" w14:textId="060F95BD" w:rsidR="00D71895" w:rsidRPr="00A71AF8" w:rsidRDefault="00D71895" w:rsidP="00D71895">
            <w:pPr>
              <w:tabs>
                <w:tab w:val="left" w:pos="34"/>
              </w:tabs>
              <w:spacing w:before="120" w:after="120"/>
              <w:ind w:left="0"/>
              <w:rPr>
                <w:rFonts w:cs="Arial"/>
                <w:sz w:val="18"/>
                <w:szCs w:val="18"/>
                <w:lang w:eastAsia="en-GB"/>
              </w:rPr>
            </w:pPr>
            <w:r w:rsidRPr="00A71AF8">
              <w:rPr>
                <w:rFonts w:cs="Arial"/>
                <w:sz w:val="18"/>
                <w:szCs w:val="18"/>
                <w:lang w:eastAsia="en-GB"/>
              </w:rPr>
              <w:t xml:space="preserve">G4S are the Strategic Partner with the Force </w:t>
            </w:r>
            <w:r>
              <w:rPr>
                <w:rFonts w:cs="Arial"/>
                <w:sz w:val="18"/>
                <w:szCs w:val="18"/>
                <w:lang w:eastAsia="en-GB"/>
              </w:rPr>
              <w:t>until</w:t>
            </w:r>
            <w:r w:rsidRPr="00A71AF8">
              <w:rPr>
                <w:rFonts w:cs="Arial"/>
                <w:sz w:val="18"/>
                <w:szCs w:val="18"/>
                <w:lang w:eastAsia="en-GB"/>
              </w:rPr>
              <w:t xml:space="preserve"> </w:t>
            </w:r>
            <w:r>
              <w:rPr>
                <w:rFonts w:cs="Arial"/>
                <w:sz w:val="18"/>
                <w:szCs w:val="18"/>
                <w:lang w:eastAsia="en-GB"/>
              </w:rPr>
              <w:t>31</w:t>
            </w:r>
            <w:r w:rsidRPr="00A71AF8">
              <w:rPr>
                <w:rFonts w:cs="Arial"/>
                <w:sz w:val="18"/>
                <w:szCs w:val="18"/>
                <w:lang w:eastAsia="en-GB"/>
              </w:rPr>
              <w:t xml:space="preserve"> </w:t>
            </w:r>
            <w:r>
              <w:rPr>
                <w:rFonts w:cs="Arial"/>
                <w:sz w:val="18"/>
                <w:szCs w:val="18"/>
                <w:lang w:eastAsia="en-GB"/>
              </w:rPr>
              <w:t>March 202</w:t>
            </w:r>
            <w:r w:rsidRPr="00A71AF8">
              <w:rPr>
                <w:rFonts w:cs="Arial"/>
                <w:sz w:val="18"/>
                <w:szCs w:val="18"/>
                <w:lang w:eastAsia="en-GB"/>
              </w:rPr>
              <w:t>2.  G4S Policing Support Services deliver a range of administrative and operational services formerly delivered by a combination of civilian employees and police officers – including Finance, HR, Fleet Management, Custody, Support Services and Control Room.</w:t>
            </w:r>
          </w:p>
        </w:tc>
      </w:tr>
      <w:tr w:rsidR="00D71895" w:rsidRPr="00A71AF8" w14:paraId="7FB24454" w14:textId="77777777" w:rsidTr="00493AFA">
        <w:tc>
          <w:tcPr>
            <w:tcW w:w="2694" w:type="dxa"/>
          </w:tcPr>
          <w:p w14:paraId="554DDD93" w14:textId="77777777" w:rsidR="00D71895" w:rsidRPr="00A71AF8" w:rsidRDefault="00D71895" w:rsidP="00D71895">
            <w:pPr>
              <w:tabs>
                <w:tab w:val="left" w:pos="34"/>
              </w:tabs>
              <w:spacing w:before="120" w:after="120"/>
              <w:ind w:left="0"/>
              <w:rPr>
                <w:rFonts w:cs="Arial"/>
                <w:sz w:val="18"/>
                <w:szCs w:val="18"/>
                <w:lang w:eastAsia="en-GB"/>
              </w:rPr>
            </w:pPr>
            <w:r w:rsidRPr="00A71AF8">
              <w:rPr>
                <w:rFonts w:cs="Arial"/>
                <w:sz w:val="18"/>
                <w:szCs w:val="18"/>
                <w:lang w:eastAsia="en-GB"/>
              </w:rPr>
              <w:t>TOIL</w:t>
            </w:r>
          </w:p>
        </w:tc>
        <w:tc>
          <w:tcPr>
            <w:tcW w:w="6804" w:type="dxa"/>
          </w:tcPr>
          <w:p w14:paraId="273A393B" w14:textId="77777777" w:rsidR="00D71895" w:rsidRPr="00A71AF8" w:rsidRDefault="00D71895" w:rsidP="00D71895">
            <w:pPr>
              <w:tabs>
                <w:tab w:val="left" w:pos="34"/>
              </w:tabs>
              <w:spacing w:before="120" w:after="120"/>
              <w:ind w:left="0"/>
              <w:rPr>
                <w:rFonts w:cs="Arial"/>
                <w:sz w:val="18"/>
                <w:szCs w:val="18"/>
                <w:lang w:eastAsia="en-GB"/>
              </w:rPr>
            </w:pPr>
            <w:r w:rsidRPr="00A71AF8">
              <w:rPr>
                <w:rFonts w:cs="Arial"/>
                <w:sz w:val="18"/>
                <w:szCs w:val="18"/>
                <w:lang w:eastAsia="en-GB"/>
              </w:rPr>
              <w:t xml:space="preserve">Time Off </w:t>
            </w:r>
            <w:proofErr w:type="gramStart"/>
            <w:r w:rsidRPr="00A71AF8">
              <w:rPr>
                <w:rFonts w:cs="Arial"/>
                <w:sz w:val="18"/>
                <w:szCs w:val="18"/>
                <w:lang w:eastAsia="en-GB"/>
              </w:rPr>
              <w:t>In</w:t>
            </w:r>
            <w:proofErr w:type="gramEnd"/>
            <w:r w:rsidRPr="00A71AF8">
              <w:rPr>
                <w:rFonts w:cs="Arial"/>
                <w:sz w:val="18"/>
                <w:szCs w:val="18"/>
                <w:lang w:eastAsia="en-GB"/>
              </w:rPr>
              <w:t xml:space="preserve"> Lieu may be accrued by both Police Officers and Staff when working additional hours for which payment is not made.</w:t>
            </w:r>
          </w:p>
        </w:tc>
      </w:tr>
      <w:tr w:rsidR="00D71895" w:rsidRPr="00A71AF8" w14:paraId="723ADF0F" w14:textId="77777777" w:rsidTr="00493AFA">
        <w:tc>
          <w:tcPr>
            <w:tcW w:w="2694" w:type="dxa"/>
          </w:tcPr>
          <w:p w14:paraId="74F437AF" w14:textId="77777777" w:rsidR="00D71895" w:rsidRPr="00A71AF8" w:rsidRDefault="00D71895" w:rsidP="00D71895">
            <w:pPr>
              <w:tabs>
                <w:tab w:val="left" w:pos="34"/>
              </w:tabs>
              <w:spacing w:before="120" w:after="120"/>
              <w:ind w:left="0"/>
              <w:rPr>
                <w:rFonts w:cs="Arial"/>
                <w:sz w:val="18"/>
                <w:szCs w:val="18"/>
                <w:lang w:eastAsia="en-GB"/>
              </w:rPr>
            </w:pPr>
            <w:r w:rsidRPr="00A71AF8">
              <w:rPr>
                <w:rFonts w:cs="Arial"/>
                <w:sz w:val="18"/>
                <w:szCs w:val="18"/>
                <w:lang w:eastAsia="en-GB"/>
              </w:rPr>
              <w:t>WYPF</w:t>
            </w:r>
          </w:p>
        </w:tc>
        <w:tc>
          <w:tcPr>
            <w:tcW w:w="6804" w:type="dxa"/>
          </w:tcPr>
          <w:p w14:paraId="58092770" w14:textId="77777777" w:rsidR="00D71895" w:rsidRPr="00A71AF8" w:rsidRDefault="00D71895" w:rsidP="00D71895">
            <w:pPr>
              <w:tabs>
                <w:tab w:val="left" w:pos="34"/>
              </w:tabs>
              <w:spacing w:before="120" w:after="120"/>
              <w:ind w:left="0"/>
              <w:rPr>
                <w:rFonts w:cs="Arial"/>
                <w:sz w:val="18"/>
                <w:szCs w:val="18"/>
                <w:lang w:eastAsia="en-GB"/>
              </w:rPr>
            </w:pPr>
            <w:r w:rsidRPr="00A71AF8">
              <w:rPr>
                <w:rFonts w:cs="Arial"/>
                <w:sz w:val="18"/>
                <w:szCs w:val="18"/>
                <w:lang w:eastAsia="en-GB"/>
              </w:rPr>
              <w:t>West Yorkshire Pension Fund.</w:t>
            </w:r>
          </w:p>
        </w:tc>
      </w:tr>
      <w:tr w:rsidR="00D71895" w:rsidRPr="00A71AF8" w14:paraId="3FEB06AF" w14:textId="77777777" w:rsidTr="00493AFA">
        <w:tc>
          <w:tcPr>
            <w:tcW w:w="2694" w:type="dxa"/>
          </w:tcPr>
          <w:p w14:paraId="578C2774" w14:textId="77777777" w:rsidR="00D71895" w:rsidRPr="00A71AF8" w:rsidRDefault="00D71895" w:rsidP="00D71895">
            <w:pPr>
              <w:tabs>
                <w:tab w:val="left" w:pos="34"/>
              </w:tabs>
              <w:spacing w:before="120" w:after="120"/>
              <w:ind w:left="0"/>
              <w:rPr>
                <w:rFonts w:cs="Arial"/>
                <w:sz w:val="18"/>
                <w:szCs w:val="18"/>
                <w:lang w:eastAsia="en-GB"/>
              </w:rPr>
            </w:pPr>
            <w:r w:rsidRPr="00A71AF8">
              <w:rPr>
                <w:rFonts w:cs="Arial"/>
                <w:sz w:val="18"/>
                <w:szCs w:val="18"/>
                <w:lang w:eastAsia="en-GB"/>
              </w:rPr>
              <w:t>Virement</w:t>
            </w:r>
          </w:p>
        </w:tc>
        <w:tc>
          <w:tcPr>
            <w:tcW w:w="6804" w:type="dxa"/>
          </w:tcPr>
          <w:p w14:paraId="36D26149" w14:textId="77777777" w:rsidR="00D71895" w:rsidRPr="00A71AF8" w:rsidRDefault="00D71895" w:rsidP="00D71895">
            <w:pPr>
              <w:tabs>
                <w:tab w:val="left" w:pos="34"/>
              </w:tabs>
              <w:spacing w:before="120" w:after="120"/>
              <w:ind w:left="0"/>
              <w:rPr>
                <w:rFonts w:cs="Arial"/>
                <w:sz w:val="18"/>
                <w:szCs w:val="18"/>
                <w:lang w:eastAsia="en-GB"/>
              </w:rPr>
            </w:pPr>
            <w:r w:rsidRPr="00A71AF8">
              <w:rPr>
                <w:rFonts w:cs="Arial"/>
                <w:sz w:val="18"/>
                <w:szCs w:val="18"/>
                <w:lang w:eastAsia="en-GB"/>
              </w:rPr>
              <w:t>Transfers between budget headings, in accordance with Financial Regulations, reflecting changes in the PCC’s expenditure plans.</w:t>
            </w:r>
          </w:p>
        </w:tc>
      </w:tr>
      <w:tr w:rsidR="00D71895" w:rsidRPr="00A71AF8" w14:paraId="76A96E92" w14:textId="77777777" w:rsidTr="00493AFA">
        <w:tc>
          <w:tcPr>
            <w:tcW w:w="2694" w:type="dxa"/>
          </w:tcPr>
          <w:p w14:paraId="366C4742" w14:textId="77777777" w:rsidR="00D71895" w:rsidRPr="00A71AF8" w:rsidRDefault="00D71895" w:rsidP="00D71895">
            <w:pPr>
              <w:tabs>
                <w:tab w:val="left" w:pos="34"/>
              </w:tabs>
              <w:spacing w:before="120" w:after="120"/>
              <w:ind w:left="0"/>
              <w:rPr>
                <w:rFonts w:cs="Arial"/>
                <w:sz w:val="18"/>
                <w:szCs w:val="18"/>
                <w:lang w:eastAsia="en-GB"/>
              </w:rPr>
            </w:pPr>
            <w:r w:rsidRPr="00A71AF8">
              <w:rPr>
                <w:rFonts w:cs="Arial"/>
                <w:sz w:val="18"/>
                <w:szCs w:val="18"/>
                <w:lang w:eastAsia="en-GB"/>
              </w:rPr>
              <w:t>XPS</w:t>
            </w:r>
          </w:p>
        </w:tc>
        <w:tc>
          <w:tcPr>
            <w:tcW w:w="6804" w:type="dxa"/>
          </w:tcPr>
          <w:p w14:paraId="72F68717" w14:textId="77777777" w:rsidR="00D71895" w:rsidRPr="00A71AF8" w:rsidRDefault="00D71895" w:rsidP="00D71895">
            <w:pPr>
              <w:tabs>
                <w:tab w:val="left" w:pos="34"/>
              </w:tabs>
              <w:spacing w:before="120" w:after="120"/>
              <w:ind w:left="0"/>
              <w:rPr>
                <w:rFonts w:cs="Arial"/>
                <w:sz w:val="18"/>
                <w:szCs w:val="18"/>
                <w:lang w:eastAsia="en-GB"/>
              </w:rPr>
            </w:pPr>
            <w:r w:rsidRPr="00A71AF8">
              <w:rPr>
                <w:rFonts w:cs="Arial"/>
                <w:sz w:val="18"/>
                <w:szCs w:val="18"/>
                <w:lang w:eastAsia="en-GB"/>
              </w:rPr>
              <w:t>XPS Pensions Group, the pension administrators of the Lincolnshire Police Pension Fund.</w:t>
            </w:r>
          </w:p>
        </w:tc>
      </w:tr>
    </w:tbl>
    <w:p w14:paraId="5D03C28F" w14:textId="77777777" w:rsidR="00A71AF8" w:rsidRPr="00C9696F" w:rsidRDefault="00A71AF8" w:rsidP="00C9696F">
      <w:pPr>
        <w:ind w:left="0"/>
      </w:pPr>
    </w:p>
    <w:sectPr w:rsidR="00A71AF8" w:rsidRPr="00C9696F" w:rsidSect="00D80E4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67D309" w14:textId="77777777" w:rsidR="002A4BFF" w:rsidRDefault="002A4BFF" w:rsidP="00806A0D">
      <w:r>
        <w:separator/>
      </w:r>
    </w:p>
  </w:endnote>
  <w:endnote w:type="continuationSeparator" w:id="0">
    <w:p w14:paraId="77C96DD3" w14:textId="77777777" w:rsidR="002A4BFF" w:rsidRDefault="002A4BFF" w:rsidP="00806A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LT Std">
    <w:altName w:val="Cambria"/>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8EE7C" w14:textId="2D2AE4E1" w:rsidR="007117D1" w:rsidRPr="00F02B2B" w:rsidRDefault="00D47ED4" w:rsidP="00F02B2B">
    <w:pPr>
      <w:pStyle w:val="Footer"/>
      <w:jc w:val="center"/>
      <w:rPr>
        <w:color w:val="808080" w:themeColor="background1" w:themeShade="80"/>
        <w:sz w:val="16"/>
        <w:szCs w:val="16"/>
        <w:lang w:val="en-US"/>
      </w:rPr>
    </w:pPr>
    <w:r>
      <w:rPr>
        <w:color w:val="808080" w:themeColor="background1" w:themeShade="80"/>
        <w:sz w:val="16"/>
        <w:szCs w:val="16"/>
        <w:lang w:val="en-US"/>
      </w:rPr>
      <w:t>Chief Constable of</w:t>
    </w:r>
    <w:r w:rsidR="007117D1" w:rsidRPr="00F02B2B">
      <w:rPr>
        <w:color w:val="808080" w:themeColor="background1" w:themeShade="80"/>
        <w:sz w:val="16"/>
        <w:szCs w:val="16"/>
        <w:lang w:val="en-US"/>
      </w:rPr>
      <w:t xml:space="preserve"> Lincolnshire –</w:t>
    </w:r>
    <w:r w:rsidR="00DA5A06">
      <w:rPr>
        <w:color w:val="808080" w:themeColor="background1" w:themeShade="80"/>
        <w:sz w:val="16"/>
        <w:szCs w:val="16"/>
        <w:lang w:val="en-US"/>
      </w:rPr>
      <w:t xml:space="preserve"> A</w:t>
    </w:r>
    <w:r w:rsidR="007117D1" w:rsidRPr="00F02B2B">
      <w:rPr>
        <w:color w:val="808080" w:themeColor="background1" w:themeShade="80"/>
        <w:sz w:val="16"/>
        <w:szCs w:val="16"/>
        <w:lang w:val="en-US"/>
      </w:rPr>
      <w:t xml:space="preserve">udited Financial Statements, </w:t>
    </w:r>
    <w:r w:rsidR="007117D1">
      <w:rPr>
        <w:color w:val="808080" w:themeColor="background1" w:themeShade="80"/>
        <w:sz w:val="16"/>
        <w:szCs w:val="16"/>
        <w:lang w:val="en-US"/>
      </w:rPr>
      <w:t>2020/21</w:t>
    </w:r>
  </w:p>
  <w:p w14:paraId="6E31E2DD" w14:textId="77777777" w:rsidR="007117D1" w:rsidRPr="00FA37BF" w:rsidRDefault="007117D1" w:rsidP="00F02B2B">
    <w:pPr>
      <w:pStyle w:val="Footer"/>
      <w:jc w:val="right"/>
      <w:rPr>
        <w:szCs w:val="16"/>
        <w:lang w:val="en-US"/>
      </w:rPr>
    </w:pPr>
    <w:r w:rsidRPr="00F1716F">
      <w:rPr>
        <w:rStyle w:val="PageNumber"/>
        <w:color w:val="808080" w:themeColor="background1" w:themeShade="80"/>
        <w:sz w:val="16"/>
      </w:rPr>
      <w:t xml:space="preserve">Page </w:t>
    </w:r>
    <w:r w:rsidRPr="00F1716F">
      <w:rPr>
        <w:rStyle w:val="PageNumber"/>
        <w:color w:val="808080" w:themeColor="background1" w:themeShade="80"/>
        <w:sz w:val="16"/>
      </w:rPr>
      <w:fldChar w:fldCharType="begin"/>
    </w:r>
    <w:r w:rsidRPr="00F1716F">
      <w:rPr>
        <w:rStyle w:val="PageNumber"/>
        <w:color w:val="808080" w:themeColor="background1" w:themeShade="80"/>
        <w:sz w:val="16"/>
      </w:rPr>
      <w:instrText xml:space="preserve"> PAGE </w:instrText>
    </w:r>
    <w:r w:rsidRPr="00F1716F">
      <w:rPr>
        <w:rStyle w:val="PageNumber"/>
        <w:color w:val="808080" w:themeColor="background1" w:themeShade="80"/>
        <w:sz w:val="16"/>
      </w:rPr>
      <w:fldChar w:fldCharType="separate"/>
    </w:r>
    <w:r>
      <w:rPr>
        <w:rStyle w:val="PageNumber"/>
        <w:noProof/>
        <w:color w:val="808080" w:themeColor="background1" w:themeShade="80"/>
        <w:sz w:val="16"/>
      </w:rPr>
      <w:t>2</w:t>
    </w:r>
    <w:r w:rsidRPr="00F1716F">
      <w:rPr>
        <w:rStyle w:val="PageNumber"/>
        <w:color w:val="808080" w:themeColor="background1" w:themeShade="80"/>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9AA421" w14:textId="77777777" w:rsidR="002A4BFF" w:rsidRDefault="002A4BFF" w:rsidP="00806A0D">
      <w:r>
        <w:separator/>
      </w:r>
    </w:p>
  </w:footnote>
  <w:footnote w:type="continuationSeparator" w:id="0">
    <w:p w14:paraId="66D6DE9A" w14:textId="77777777" w:rsidR="002A4BFF" w:rsidRDefault="002A4BFF" w:rsidP="00806A0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146CF"/>
    <w:multiLevelType w:val="hybridMultilevel"/>
    <w:tmpl w:val="EF8A42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13200C"/>
    <w:multiLevelType w:val="hybridMultilevel"/>
    <w:tmpl w:val="3F40E21C"/>
    <w:lvl w:ilvl="0" w:tplc="08090001">
      <w:start w:val="1"/>
      <w:numFmt w:val="bullet"/>
      <w:lvlText w:val=""/>
      <w:lvlJc w:val="left"/>
      <w:pPr>
        <w:tabs>
          <w:tab w:val="num" w:pos="720"/>
        </w:tabs>
        <w:ind w:left="720" w:hanging="360"/>
      </w:pPr>
      <w:rPr>
        <w:rFonts w:ascii="Symbol" w:hAnsi="Symbol" w:cs="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cs="Wingdings" w:hint="default"/>
      </w:rPr>
    </w:lvl>
    <w:lvl w:ilvl="3" w:tplc="08090001">
      <w:start w:val="1"/>
      <w:numFmt w:val="bullet"/>
      <w:lvlText w:val=""/>
      <w:lvlJc w:val="left"/>
      <w:pPr>
        <w:tabs>
          <w:tab w:val="num" w:pos="2880"/>
        </w:tabs>
        <w:ind w:left="2880" w:hanging="360"/>
      </w:pPr>
      <w:rPr>
        <w:rFonts w:ascii="Symbol" w:hAnsi="Symbol" w:cs="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cs="Wingdings" w:hint="default"/>
      </w:rPr>
    </w:lvl>
    <w:lvl w:ilvl="6" w:tplc="08090001">
      <w:start w:val="1"/>
      <w:numFmt w:val="bullet"/>
      <w:lvlText w:val=""/>
      <w:lvlJc w:val="left"/>
      <w:pPr>
        <w:tabs>
          <w:tab w:val="num" w:pos="5040"/>
        </w:tabs>
        <w:ind w:left="5040" w:hanging="360"/>
      </w:pPr>
      <w:rPr>
        <w:rFonts w:ascii="Symbol" w:hAnsi="Symbol" w:cs="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cs="Wingdings" w:hint="default"/>
      </w:rPr>
    </w:lvl>
  </w:abstractNum>
  <w:abstractNum w:abstractNumId="2" w15:restartNumberingAfterBreak="0">
    <w:nsid w:val="080C6665"/>
    <w:multiLevelType w:val="hybridMultilevel"/>
    <w:tmpl w:val="E31894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834361"/>
    <w:multiLevelType w:val="hybridMultilevel"/>
    <w:tmpl w:val="6242137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4" w15:restartNumberingAfterBreak="0">
    <w:nsid w:val="0ECA1C02"/>
    <w:multiLevelType w:val="hybridMultilevel"/>
    <w:tmpl w:val="40905364"/>
    <w:lvl w:ilvl="0" w:tplc="08090001">
      <w:start w:val="1"/>
      <w:numFmt w:val="bullet"/>
      <w:lvlText w:val=""/>
      <w:lvlJc w:val="left"/>
      <w:pPr>
        <w:tabs>
          <w:tab w:val="num" w:pos="720"/>
        </w:tabs>
        <w:ind w:left="720" w:hanging="360"/>
      </w:pPr>
      <w:rPr>
        <w:rFonts w:ascii="Symbol" w:hAnsi="Symbol" w:cs="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cs="Wingdings" w:hint="default"/>
      </w:rPr>
    </w:lvl>
    <w:lvl w:ilvl="3" w:tplc="08090001">
      <w:start w:val="1"/>
      <w:numFmt w:val="bullet"/>
      <w:lvlText w:val=""/>
      <w:lvlJc w:val="left"/>
      <w:pPr>
        <w:tabs>
          <w:tab w:val="num" w:pos="2880"/>
        </w:tabs>
        <w:ind w:left="2880" w:hanging="360"/>
      </w:pPr>
      <w:rPr>
        <w:rFonts w:ascii="Symbol" w:hAnsi="Symbol" w:cs="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cs="Wingdings" w:hint="default"/>
      </w:rPr>
    </w:lvl>
    <w:lvl w:ilvl="6" w:tplc="08090001">
      <w:start w:val="1"/>
      <w:numFmt w:val="bullet"/>
      <w:lvlText w:val=""/>
      <w:lvlJc w:val="left"/>
      <w:pPr>
        <w:tabs>
          <w:tab w:val="num" w:pos="5040"/>
        </w:tabs>
        <w:ind w:left="5040" w:hanging="360"/>
      </w:pPr>
      <w:rPr>
        <w:rFonts w:ascii="Symbol" w:hAnsi="Symbol" w:cs="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cs="Wingdings" w:hint="default"/>
      </w:rPr>
    </w:lvl>
  </w:abstractNum>
  <w:abstractNum w:abstractNumId="5" w15:restartNumberingAfterBreak="0">
    <w:nsid w:val="0F590381"/>
    <w:multiLevelType w:val="hybridMultilevel"/>
    <w:tmpl w:val="12C2F8B8"/>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6" w15:restartNumberingAfterBreak="0">
    <w:nsid w:val="14327768"/>
    <w:multiLevelType w:val="hybridMultilevel"/>
    <w:tmpl w:val="2D6282AA"/>
    <w:lvl w:ilvl="0" w:tplc="08090001">
      <w:start w:val="1"/>
      <w:numFmt w:val="bullet"/>
      <w:lvlText w:val=""/>
      <w:lvlJc w:val="left"/>
      <w:pPr>
        <w:ind w:left="754" w:hanging="360"/>
      </w:pPr>
      <w:rPr>
        <w:rFonts w:ascii="Symbol" w:hAnsi="Symbol" w:hint="default"/>
      </w:rPr>
    </w:lvl>
    <w:lvl w:ilvl="1" w:tplc="08090003" w:tentative="1">
      <w:start w:val="1"/>
      <w:numFmt w:val="bullet"/>
      <w:lvlText w:val="o"/>
      <w:lvlJc w:val="left"/>
      <w:pPr>
        <w:ind w:left="1474" w:hanging="360"/>
      </w:pPr>
      <w:rPr>
        <w:rFonts w:ascii="Courier New" w:hAnsi="Courier New" w:cs="Courier New" w:hint="default"/>
      </w:rPr>
    </w:lvl>
    <w:lvl w:ilvl="2" w:tplc="08090005" w:tentative="1">
      <w:start w:val="1"/>
      <w:numFmt w:val="bullet"/>
      <w:lvlText w:val=""/>
      <w:lvlJc w:val="left"/>
      <w:pPr>
        <w:ind w:left="2194" w:hanging="360"/>
      </w:pPr>
      <w:rPr>
        <w:rFonts w:ascii="Wingdings" w:hAnsi="Wingdings" w:hint="default"/>
      </w:rPr>
    </w:lvl>
    <w:lvl w:ilvl="3" w:tplc="08090001" w:tentative="1">
      <w:start w:val="1"/>
      <w:numFmt w:val="bullet"/>
      <w:lvlText w:val=""/>
      <w:lvlJc w:val="left"/>
      <w:pPr>
        <w:ind w:left="2914" w:hanging="360"/>
      </w:pPr>
      <w:rPr>
        <w:rFonts w:ascii="Symbol" w:hAnsi="Symbol" w:hint="default"/>
      </w:rPr>
    </w:lvl>
    <w:lvl w:ilvl="4" w:tplc="08090003" w:tentative="1">
      <w:start w:val="1"/>
      <w:numFmt w:val="bullet"/>
      <w:lvlText w:val="o"/>
      <w:lvlJc w:val="left"/>
      <w:pPr>
        <w:ind w:left="3634" w:hanging="360"/>
      </w:pPr>
      <w:rPr>
        <w:rFonts w:ascii="Courier New" w:hAnsi="Courier New" w:cs="Courier New" w:hint="default"/>
      </w:rPr>
    </w:lvl>
    <w:lvl w:ilvl="5" w:tplc="08090005" w:tentative="1">
      <w:start w:val="1"/>
      <w:numFmt w:val="bullet"/>
      <w:lvlText w:val=""/>
      <w:lvlJc w:val="left"/>
      <w:pPr>
        <w:ind w:left="4354" w:hanging="360"/>
      </w:pPr>
      <w:rPr>
        <w:rFonts w:ascii="Wingdings" w:hAnsi="Wingdings" w:hint="default"/>
      </w:rPr>
    </w:lvl>
    <w:lvl w:ilvl="6" w:tplc="08090001" w:tentative="1">
      <w:start w:val="1"/>
      <w:numFmt w:val="bullet"/>
      <w:lvlText w:val=""/>
      <w:lvlJc w:val="left"/>
      <w:pPr>
        <w:ind w:left="5074" w:hanging="360"/>
      </w:pPr>
      <w:rPr>
        <w:rFonts w:ascii="Symbol" w:hAnsi="Symbol" w:hint="default"/>
      </w:rPr>
    </w:lvl>
    <w:lvl w:ilvl="7" w:tplc="08090003" w:tentative="1">
      <w:start w:val="1"/>
      <w:numFmt w:val="bullet"/>
      <w:lvlText w:val="o"/>
      <w:lvlJc w:val="left"/>
      <w:pPr>
        <w:ind w:left="5794" w:hanging="360"/>
      </w:pPr>
      <w:rPr>
        <w:rFonts w:ascii="Courier New" w:hAnsi="Courier New" w:cs="Courier New" w:hint="default"/>
      </w:rPr>
    </w:lvl>
    <w:lvl w:ilvl="8" w:tplc="08090005" w:tentative="1">
      <w:start w:val="1"/>
      <w:numFmt w:val="bullet"/>
      <w:lvlText w:val=""/>
      <w:lvlJc w:val="left"/>
      <w:pPr>
        <w:ind w:left="6514" w:hanging="360"/>
      </w:pPr>
      <w:rPr>
        <w:rFonts w:ascii="Wingdings" w:hAnsi="Wingdings" w:hint="default"/>
      </w:rPr>
    </w:lvl>
  </w:abstractNum>
  <w:abstractNum w:abstractNumId="7" w15:restartNumberingAfterBreak="0">
    <w:nsid w:val="162E188E"/>
    <w:multiLevelType w:val="hybridMultilevel"/>
    <w:tmpl w:val="6B0079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D3292C"/>
    <w:multiLevelType w:val="multilevel"/>
    <w:tmpl w:val="635C397E"/>
    <w:lvl w:ilvl="0">
      <w:start w:val="8"/>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A74028D"/>
    <w:multiLevelType w:val="multilevel"/>
    <w:tmpl w:val="2550F24A"/>
    <w:lvl w:ilvl="0">
      <w:start w:val="1"/>
      <w:numFmt w:val="decimal"/>
      <w:lvlText w:val="%1."/>
      <w:lvlJc w:val="left"/>
      <w:pPr>
        <w:ind w:left="360" w:hanging="360"/>
      </w:pPr>
      <w:rPr>
        <w:rFonts w:hint="default"/>
      </w:rPr>
    </w:lvl>
    <w:lvl w:ilvl="1">
      <w:numFmt w:val="decimal"/>
      <w:isLgl/>
      <w:lvlText w:val="%1.%2"/>
      <w:lvlJc w:val="left"/>
      <w:pPr>
        <w:ind w:left="380" w:hanging="38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 w15:restartNumberingAfterBreak="0">
    <w:nsid w:val="1B262689"/>
    <w:multiLevelType w:val="hybridMultilevel"/>
    <w:tmpl w:val="A426AE9E"/>
    <w:lvl w:ilvl="0" w:tplc="08090001">
      <w:start w:val="1"/>
      <w:numFmt w:val="bullet"/>
      <w:lvlText w:val=""/>
      <w:lvlJc w:val="left"/>
      <w:pPr>
        <w:ind w:left="987" w:hanging="420"/>
      </w:pPr>
      <w:rPr>
        <w:rFonts w:ascii="Symbol" w:hAnsi="Symbol" w:hint="default"/>
      </w:rPr>
    </w:lvl>
    <w:lvl w:ilvl="1" w:tplc="5F162A72">
      <w:numFmt w:val="bullet"/>
      <w:lvlText w:val="•"/>
      <w:lvlJc w:val="left"/>
      <w:pPr>
        <w:ind w:left="1650" w:hanging="570"/>
      </w:pPr>
      <w:rPr>
        <w:rFonts w:ascii="Arial" w:eastAsia="MS Mincho"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A544DF"/>
    <w:multiLevelType w:val="hybridMultilevel"/>
    <w:tmpl w:val="A9A00590"/>
    <w:lvl w:ilvl="0" w:tplc="08090001">
      <w:start w:val="1"/>
      <w:numFmt w:val="bullet"/>
      <w:lvlText w:val=""/>
      <w:lvlJc w:val="left"/>
      <w:pPr>
        <w:ind w:left="778" w:hanging="360"/>
      </w:pPr>
      <w:rPr>
        <w:rFonts w:ascii="Symbol" w:hAnsi="Symbol" w:hint="default"/>
      </w:rPr>
    </w:lvl>
    <w:lvl w:ilvl="1" w:tplc="08090003" w:tentative="1">
      <w:start w:val="1"/>
      <w:numFmt w:val="bullet"/>
      <w:lvlText w:val="o"/>
      <w:lvlJc w:val="left"/>
      <w:pPr>
        <w:ind w:left="1498" w:hanging="360"/>
      </w:pPr>
      <w:rPr>
        <w:rFonts w:ascii="Courier New" w:hAnsi="Courier New" w:cs="Courier New" w:hint="default"/>
      </w:rPr>
    </w:lvl>
    <w:lvl w:ilvl="2" w:tplc="08090005" w:tentative="1">
      <w:start w:val="1"/>
      <w:numFmt w:val="bullet"/>
      <w:lvlText w:val=""/>
      <w:lvlJc w:val="left"/>
      <w:pPr>
        <w:ind w:left="2218" w:hanging="360"/>
      </w:pPr>
      <w:rPr>
        <w:rFonts w:ascii="Wingdings" w:hAnsi="Wingdings" w:hint="default"/>
      </w:rPr>
    </w:lvl>
    <w:lvl w:ilvl="3" w:tplc="08090001" w:tentative="1">
      <w:start w:val="1"/>
      <w:numFmt w:val="bullet"/>
      <w:lvlText w:val=""/>
      <w:lvlJc w:val="left"/>
      <w:pPr>
        <w:ind w:left="2938" w:hanging="360"/>
      </w:pPr>
      <w:rPr>
        <w:rFonts w:ascii="Symbol" w:hAnsi="Symbol" w:hint="default"/>
      </w:rPr>
    </w:lvl>
    <w:lvl w:ilvl="4" w:tplc="08090003" w:tentative="1">
      <w:start w:val="1"/>
      <w:numFmt w:val="bullet"/>
      <w:lvlText w:val="o"/>
      <w:lvlJc w:val="left"/>
      <w:pPr>
        <w:ind w:left="3658" w:hanging="360"/>
      </w:pPr>
      <w:rPr>
        <w:rFonts w:ascii="Courier New" w:hAnsi="Courier New" w:cs="Courier New" w:hint="default"/>
      </w:rPr>
    </w:lvl>
    <w:lvl w:ilvl="5" w:tplc="08090005" w:tentative="1">
      <w:start w:val="1"/>
      <w:numFmt w:val="bullet"/>
      <w:lvlText w:val=""/>
      <w:lvlJc w:val="left"/>
      <w:pPr>
        <w:ind w:left="4378" w:hanging="360"/>
      </w:pPr>
      <w:rPr>
        <w:rFonts w:ascii="Wingdings" w:hAnsi="Wingdings" w:hint="default"/>
      </w:rPr>
    </w:lvl>
    <w:lvl w:ilvl="6" w:tplc="08090001" w:tentative="1">
      <w:start w:val="1"/>
      <w:numFmt w:val="bullet"/>
      <w:lvlText w:val=""/>
      <w:lvlJc w:val="left"/>
      <w:pPr>
        <w:ind w:left="5098" w:hanging="360"/>
      </w:pPr>
      <w:rPr>
        <w:rFonts w:ascii="Symbol" w:hAnsi="Symbol" w:hint="default"/>
      </w:rPr>
    </w:lvl>
    <w:lvl w:ilvl="7" w:tplc="08090003" w:tentative="1">
      <w:start w:val="1"/>
      <w:numFmt w:val="bullet"/>
      <w:lvlText w:val="o"/>
      <w:lvlJc w:val="left"/>
      <w:pPr>
        <w:ind w:left="5818" w:hanging="360"/>
      </w:pPr>
      <w:rPr>
        <w:rFonts w:ascii="Courier New" w:hAnsi="Courier New" w:cs="Courier New" w:hint="default"/>
      </w:rPr>
    </w:lvl>
    <w:lvl w:ilvl="8" w:tplc="08090005" w:tentative="1">
      <w:start w:val="1"/>
      <w:numFmt w:val="bullet"/>
      <w:lvlText w:val=""/>
      <w:lvlJc w:val="left"/>
      <w:pPr>
        <w:ind w:left="6538" w:hanging="360"/>
      </w:pPr>
      <w:rPr>
        <w:rFonts w:ascii="Wingdings" w:hAnsi="Wingdings" w:hint="default"/>
      </w:rPr>
    </w:lvl>
  </w:abstractNum>
  <w:abstractNum w:abstractNumId="12" w15:restartNumberingAfterBreak="0">
    <w:nsid w:val="205B0427"/>
    <w:multiLevelType w:val="hybridMultilevel"/>
    <w:tmpl w:val="4AC262E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20D54B12"/>
    <w:multiLevelType w:val="hybridMultilevel"/>
    <w:tmpl w:val="8452DCB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2936318C"/>
    <w:multiLevelType w:val="hybridMultilevel"/>
    <w:tmpl w:val="1C0414D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5" w15:restartNumberingAfterBreak="0">
    <w:nsid w:val="2B272671"/>
    <w:multiLevelType w:val="hybridMultilevel"/>
    <w:tmpl w:val="D7488EC8"/>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6" w15:restartNumberingAfterBreak="0">
    <w:nsid w:val="2D827E5C"/>
    <w:multiLevelType w:val="hybridMultilevel"/>
    <w:tmpl w:val="D3F8624A"/>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7" w15:restartNumberingAfterBreak="0">
    <w:nsid w:val="2DF36EBC"/>
    <w:multiLevelType w:val="hybridMultilevel"/>
    <w:tmpl w:val="D43A44CE"/>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18" w15:restartNumberingAfterBreak="0">
    <w:nsid w:val="2EA47BD8"/>
    <w:multiLevelType w:val="hybridMultilevel"/>
    <w:tmpl w:val="E53E033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32871B79"/>
    <w:multiLevelType w:val="hybridMultilevel"/>
    <w:tmpl w:val="47A88780"/>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0" w15:restartNumberingAfterBreak="0">
    <w:nsid w:val="34C762EA"/>
    <w:multiLevelType w:val="hybridMultilevel"/>
    <w:tmpl w:val="F3D83210"/>
    <w:lvl w:ilvl="0" w:tplc="08090001">
      <w:start w:val="1"/>
      <w:numFmt w:val="bullet"/>
      <w:lvlText w:val=""/>
      <w:lvlJc w:val="left"/>
      <w:pPr>
        <w:ind w:left="861" w:hanging="360"/>
      </w:pPr>
      <w:rPr>
        <w:rFonts w:ascii="Symbol" w:hAnsi="Symbol" w:hint="default"/>
      </w:rPr>
    </w:lvl>
    <w:lvl w:ilvl="1" w:tplc="08090003" w:tentative="1">
      <w:start w:val="1"/>
      <w:numFmt w:val="bullet"/>
      <w:lvlText w:val="o"/>
      <w:lvlJc w:val="left"/>
      <w:pPr>
        <w:ind w:left="1581" w:hanging="360"/>
      </w:pPr>
      <w:rPr>
        <w:rFonts w:ascii="Courier New" w:hAnsi="Courier New" w:cs="Courier New" w:hint="default"/>
      </w:rPr>
    </w:lvl>
    <w:lvl w:ilvl="2" w:tplc="08090005" w:tentative="1">
      <w:start w:val="1"/>
      <w:numFmt w:val="bullet"/>
      <w:lvlText w:val=""/>
      <w:lvlJc w:val="left"/>
      <w:pPr>
        <w:ind w:left="2301" w:hanging="360"/>
      </w:pPr>
      <w:rPr>
        <w:rFonts w:ascii="Wingdings" w:hAnsi="Wingdings" w:hint="default"/>
      </w:rPr>
    </w:lvl>
    <w:lvl w:ilvl="3" w:tplc="08090001" w:tentative="1">
      <w:start w:val="1"/>
      <w:numFmt w:val="bullet"/>
      <w:lvlText w:val=""/>
      <w:lvlJc w:val="left"/>
      <w:pPr>
        <w:ind w:left="3021" w:hanging="360"/>
      </w:pPr>
      <w:rPr>
        <w:rFonts w:ascii="Symbol" w:hAnsi="Symbol" w:hint="default"/>
      </w:rPr>
    </w:lvl>
    <w:lvl w:ilvl="4" w:tplc="08090003" w:tentative="1">
      <w:start w:val="1"/>
      <w:numFmt w:val="bullet"/>
      <w:lvlText w:val="o"/>
      <w:lvlJc w:val="left"/>
      <w:pPr>
        <w:ind w:left="3741" w:hanging="360"/>
      </w:pPr>
      <w:rPr>
        <w:rFonts w:ascii="Courier New" w:hAnsi="Courier New" w:cs="Courier New" w:hint="default"/>
      </w:rPr>
    </w:lvl>
    <w:lvl w:ilvl="5" w:tplc="08090005" w:tentative="1">
      <w:start w:val="1"/>
      <w:numFmt w:val="bullet"/>
      <w:lvlText w:val=""/>
      <w:lvlJc w:val="left"/>
      <w:pPr>
        <w:ind w:left="4461" w:hanging="360"/>
      </w:pPr>
      <w:rPr>
        <w:rFonts w:ascii="Wingdings" w:hAnsi="Wingdings" w:hint="default"/>
      </w:rPr>
    </w:lvl>
    <w:lvl w:ilvl="6" w:tplc="08090001" w:tentative="1">
      <w:start w:val="1"/>
      <w:numFmt w:val="bullet"/>
      <w:lvlText w:val=""/>
      <w:lvlJc w:val="left"/>
      <w:pPr>
        <w:ind w:left="5181" w:hanging="360"/>
      </w:pPr>
      <w:rPr>
        <w:rFonts w:ascii="Symbol" w:hAnsi="Symbol" w:hint="default"/>
      </w:rPr>
    </w:lvl>
    <w:lvl w:ilvl="7" w:tplc="08090003" w:tentative="1">
      <w:start w:val="1"/>
      <w:numFmt w:val="bullet"/>
      <w:lvlText w:val="o"/>
      <w:lvlJc w:val="left"/>
      <w:pPr>
        <w:ind w:left="5901" w:hanging="360"/>
      </w:pPr>
      <w:rPr>
        <w:rFonts w:ascii="Courier New" w:hAnsi="Courier New" w:cs="Courier New" w:hint="default"/>
      </w:rPr>
    </w:lvl>
    <w:lvl w:ilvl="8" w:tplc="08090005" w:tentative="1">
      <w:start w:val="1"/>
      <w:numFmt w:val="bullet"/>
      <w:lvlText w:val=""/>
      <w:lvlJc w:val="left"/>
      <w:pPr>
        <w:ind w:left="6621" w:hanging="360"/>
      </w:pPr>
      <w:rPr>
        <w:rFonts w:ascii="Wingdings" w:hAnsi="Wingdings" w:hint="default"/>
      </w:rPr>
    </w:lvl>
  </w:abstractNum>
  <w:abstractNum w:abstractNumId="21" w15:restartNumberingAfterBreak="0">
    <w:nsid w:val="35DA23BF"/>
    <w:multiLevelType w:val="hybridMultilevel"/>
    <w:tmpl w:val="FACADA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92F063F"/>
    <w:multiLevelType w:val="hybridMultilevel"/>
    <w:tmpl w:val="8354A6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B626102"/>
    <w:multiLevelType w:val="hybridMultilevel"/>
    <w:tmpl w:val="05E0B972"/>
    <w:lvl w:ilvl="0" w:tplc="08090001">
      <w:start w:val="1"/>
      <w:numFmt w:val="bullet"/>
      <w:lvlText w:val=""/>
      <w:lvlJc w:val="left"/>
      <w:pPr>
        <w:ind w:left="927" w:hanging="360"/>
      </w:pPr>
      <w:rPr>
        <w:rFonts w:ascii="Symbol" w:hAnsi="Symbol" w:hint="default"/>
      </w:rPr>
    </w:lvl>
    <w:lvl w:ilvl="1" w:tplc="DEE0C6D6">
      <w:start w:val="1"/>
      <w:numFmt w:val="bullet"/>
      <w:lvlText w:val="o"/>
      <w:lvlJc w:val="left"/>
      <w:pPr>
        <w:ind w:left="1647" w:hanging="360"/>
      </w:pPr>
      <w:rPr>
        <w:rFonts w:ascii="Courier New" w:hAnsi="Courier New" w:cs="Courier New" w:hint="default"/>
        <w:color w:val="auto"/>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 w15:restartNumberingAfterBreak="0">
    <w:nsid w:val="3CCF0D04"/>
    <w:multiLevelType w:val="hybridMultilevel"/>
    <w:tmpl w:val="2A30C12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5" w15:restartNumberingAfterBreak="0">
    <w:nsid w:val="429A4A80"/>
    <w:multiLevelType w:val="hybridMultilevel"/>
    <w:tmpl w:val="8E5E55EA"/>
    <w:lvl w:ilvl="0" w:tplc="08090001">
      <w:start w:val="1"/>
      <w:numFmt w:val="bullet"/>
      <w:lvlText w:val=""/>
      <w:lvlJc w:val="left"/>
      <w:pPr>
        <w:ind w:left="1290" w:hanging="570"/>
      </w:pPr>
      <w:rPr>
        <w:rFonts w:ascii="Symbol" w:hAnsi="Symbol" w:hint="default"/>
      </w:rPr>
    </w:lvl>
    <w:lvl w:ilvl="1" w:tplc="08090003" w:tentative="1">
      <w:start w:val="1"/>
      <w:numFmt w:val="bullet"/>
      <w:lvlText w:val="o"/>
      <w:lvlJc w:val="left"/>
      <w:pPr>
        <w:ind w:left="1451" w:hanging="360"/>
      </w:pPr>
      <w:rPr>
        <w:rFonts w:ascii="Courier New" w:hAnsi="Courier New" w:cs="Courier New" w:hint="default"/>
      </w:rPr>
    </w:lvl>
    <w:lvl w:ilvl="2" w:tplc="08090005" w:tentative="1">
      <w:start w:val="1"/>
      <w:numFmt w:val="bullet"/>
      <w:lvlText w:val=""/>
      <w:lvlJc w:val="left"/>
      <w:pPr>
        <w:ind w:left="2171" w:hanging="360"/>
      </w:pPr>
      <w:rPr>
        <w:rFonts w:ascii="Wingdings" w:hAnsi="Wingdings" w:hint="default"/>
      </w:rPr>
    </w:lvl>
    <w:lvl w:ilvl="3" w:tplc="08090001" w:tentative="1">
      <w:start w:val="1"/>
      <w:numFmt w:val="bullet"/>
      <w:lvlText w:val=""/>
      <w:lvlJc w:val="left"/>
      <w:pPr>
        <w:ind w:left="2891" w:hanging="360"/>
      </w:pPr>
      <w:rPr>
        <w:rFonts w:ascii="Symbol" w:hAnsi="Symbol" w:hint="default"/>
      </w:rPr>
    </w:lvl>
    <w:lvl w:ilvl="4" w:tplc="08090003" w:tentative="1">
      <w:start w:val="1"/>
      <w:numFmt w:val="bullet"/>
      <w:lvlText w:val="o"/>
      <w:lvlJc w:val="left"/>
      <w:pPr>
        <w:ind w:left="3611" w:hanging="360"/>
      </w:pPr>
      <w:rPr>
        <w:rFonts w:ascii="Courier New" w:hAnsi="Courier New" w:cs="Courier New" w:hint="default"/>
      </w:rPr>
    </w:lvl>
    <w:lvl w:ilvl="5" w:tplc="08090005" w:tentative="1">
      <w:start w:val="1"/>
      <w:numFmt w:val="bullet"/>
      <w:lvlText w:val=""/>
      <w:lvlJc w:val="left"/>
      <w:pPr>
        <w:ind w:left="4331" w:hanging="360"/>
      </w:pPr>
      <w:rPr>
        <w:rFonts w:ascii="Wingdings" w:hAnsi="Wingdings" w:hint="default"/>
      </w:rPr>
    </w:lvl>
    <w:lvl w:ilvl="6" w:tplc="08090001" w:tentative="1">
      <w:start w:val="1"/>
      <w:numFmt w:val="bullet"/>
      <w:lvlText w:val=""/>
      <w:lvlJc w:val="left"/>
      <w:pPr>
        <w:ind w:left="5051" w:hanging="360"/>
      </w:pPr>
      <w:rPr>
        <w:rFonts w:ascii="Symbol" w:hAnsi="Symbol" w:hint="default"/>
      </w:rPr>
    </w:lvl>
    <w:lvl w:ilvl="7" w:tplc="08090003" w:tentative="1">
      <w:start w:val="1"/>
      <w:numFmt w:val="bullet"/>
      <w:lvlText w:val="o"/>
      <w:lvlJc w:val="left"/>
      <w:pPr>
        <w:ind w:left="5771" w:hanging="360"/>
      </w:pPr>
      <w:rPr>
        <w:rFonts w:ascii="Courier New" w:hAnsi="Courier New" w:cs="Courier New" w:hint="default"/>
      </w:rPr>
    </w:lvl>
    <w:lvl w:ilvl="8" w:tplc="08090005" w:tentative="1">
      <w:start w:val="1"/>
      <w:numFmt w:val="bullet"/>
      <w:lvlText w:val=""/>
      <w:lvlJc w:val="left"/>
      <w:pPr>
        <w:ind w:left="6491" w:hanging="360"/>
      </w:pPr>
      <w:rPr>
        <w:rFonts w:ascii="Wingdings" w:hAnsi="Wingdings" w:hint="default"/>
      </w:rPr>
    </w:lvl>
  </w:abstractNum>
  <w:abstractNum w:abstractNumId="26" w15:restartNumberingAfterBreak="0">
    <w:nsid w:val="47F838AC"/>
    <w:multiLevelType w:val="hybridMultilevel"/>
    <w:tmpl w:val="79D6AB58"/>
    <w:lvl w:ilvl="0" w:tplc="08090005">
      <w:start w:val="1"/>
      <w:numFmt w:val="bullet"/>
      <w:lvlText w:val=""/>
      <w:lvlJc w:val="left"/>
      <w:pPr>
        <w:ind w:left="1636" w:hanging="360"/>
      </w:pPr>
      <w:rPr>
        <w:rFonts w:ascii="Wingdings" w:hAnsi="Wingdings" w:hint="default"/>
      </w:rPr>
    </w:lvl>
    <w:lvl w:ilvl="1" w:tplc="08090003" w:tentative="1">
      <w:start w:val="1"/>
      <w:numFmt w:val="bullet"/>
      <w:lvlText w:val="o"/>
      <w:lvlJc w:val="left"/>
      <w:pPr>
        <w:ind w:left="2356" w:hanging="360"/>
      </w:pPr>
      <w:rPr>
        <w:rFonts w:ascii="Courier New" w:hAnsi="Courier New" w:cs="Courier New" w:hint="default"/>
      </w:rPr>
    </w:lvl>
    <w:lvl w:ilvl="2" w:tplc="08090005" w:tentative="1">
      <w:start w:val="1"/>
      <w:numFmt w:val="bullet"/>
      <w:lvlText w:val=""/>
      <w:lvlJc w:val="left"/>
      <w:pPr>
        <w:ind w:left="3076" w:hanging="360"/>
      </w:pPr>
      <w:rPr>
        <w:rFonts w:ascii="Wingdings" w:hAnsi="Wingdings" w:hint="default"/>
      </w:rPr>
    </w:lvl>
    <w:lvl w:ilvl="3" w:tplc="08090001" w:tentative="1">
      <w:start w:val="1"/>
      <w:numFmt w:val="bullet"/>
      <w:lvlText w:val=""/>
      <w:lvlJc w:val="left"/>
      <w:pPr>
        <w:ind w:left="3796" w:hanging="360"/>
      </w:pPr>
      <w:rPr>
        <w:rFonts w:ascii="Symbol" w:hAnsi="Symbol" w:hint="default"/>
      </w:rPr>
    </w:lvl>
    <w:lvl w:ilvl="4" w:tplc="08090003" w:tentative="1">
      <w:start w:val="1"/>
      <w:numFmt w:val="bullet"/>
      <w:lvlText w:val="o"/>
      <w:lvlJc w:val="left"/>
      <w:pPr>
        <w:ind w:left="4516" w:hanging="360"/>
      </w:pPr>
      <w:rPr>
        <w:rFonts w:ascii="Courier New" w:hAnsi="Courier New" w:cs="Courier New" w:hint="default"/>
      </w:rPr>
    </w:lvl>
    <w:lvl w:ilvl="5" w:tplc="08090005" w:tentative="1">
      <w:start w:val="1"/>
      <w:numFmt w:val="bullet"/>
      <w:lvlText w:val=""/>
      <w:lvlJc w:val="left"/>
      <w:pPr>
        <w:ind w:left="5236" w:hanging="360"/>
      </w:pPr>
      <w:rPr>
        <w:rFonts w:ascii="Wingdings" w:hAnsi="Wingdings" w:hint="default"/>
      </w:rPr>
    </w:lvl>
    <w:lvl w:ilvl="6" w:tplc="08090001" w:tentative="1">
      <w:start w:val="1"/>
      <w:numFmt w:val="bullet"/>
      <w:lvlText w:val=""/>
      <w:lvlJc w:val="left"/>
      <w:pPr>
        <w:ind w:left="5956" w:hanging="360"/>
      </w:pPr>
      <w:rPr>
        <w:rFonts w:ascii="Symbol" w:hAnsi="Symbol" w:hint="default"/>
      </w:rPr>
    </w:lvl>
    <w:lvl w:ilvl="7" w:tplc="08090003" w:tentative="1">
      <w:start w:val="1"/>
      <w:numFmt w:val="bullet"/>
      <w:lvlText w:val="o"/>
      <w:lvlJc w:val="left"/>
      <w:pPr>
        <w:ind w:left="6676" w:hanging="360"/>
      </w:pPr>
      <w:rPr>
        <w:rFonts w:ascii="Courier New" w:hAnsi="Courier New" w:cs="Courier New" w:hint="default"/>
      </w:rPr>
    </w:lvl>
    <w:lvl w:ilvl="8" w:tplc="08090005" w:tentative="1">
      <w:start w:val="1"/>
      <w:numFmt w:val="bullet"/>
      <w:lvlText w:val=""/>
      <w:lvlJc w:val="left"/>
      <w:pPr>
        <w:ind w:left="7396" w:hanging="360"/>
      </w:pPr>
      <w:rPr>
        <w:rFonts w:ascii="Wingdings" w:hAnsi="Wingdings" w:hint="default"/>
      </w:rPr>
    </w:lvl>
  </w:abstractNum>
  <w:abstractNum w:abstractNumId="27" w15:restartNumberingAfterBreak="0">
    <w:nsid w:val="49882B88"/>
    <w:multiLevelType w:val="hybridMultilevel"/>
    <w:tmpl w:val="56F0B3EC"/>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8" w15:restartNumberingAfterBreak="0">
    <w:nsid w:val="4D1D278E"/>
    <w:multiLevelType w:val="hybridMultilevel"/>
    <w:tmpl w:val="3AD6A8AA"/>
    <w:lvl w:ilvl="0" w:tplc="08090001">
      <w:start w:val="1"/>
      <w:numFmt w:val="bullet"/>
      <w:lvlText w:val=""/>
      <w:lvlJc w:val="left"/>
      <w:pPr>
        <w:ind w:left="861" w:hanging="360"/>
      </w:pPr>
      <w:rPr>
        <w:rFonts w:ascii="Symbol" w:hAnsi="Symbol" w:hint="default"/>
      </w:rPr>
    </w:lvl>
    <w:lvl w:ilvl="1" w:tplc="08090003" w:tentative="1">
      <w:start w:val="1"/>
      <w:numFmt w:val="bullet"/>
      <w:lvlText w:val="o"/>
      <w:lvlJc w:val="left"/>
      <w:pPr>
        <w:ind w:left="1581" w:hanging="360"/>
      </w:pPr>
      <w:rPr>
        <w:rFonts w:ascii="Courier New" w:hAnsi="Courier New" w:cs="Courier New" w:hint="default"/>
      </w:rPr>
    </w:lvl>
    <w:lvl w:ilvl="2" w:tplc="08090005" w:tentative="1">
      <w:start w:val="1"/>
      <w:numFmt w:val="bullet"/>
      <w:lvlText w:val=""/>
      <w:lvlJc w:val="left"/>
      <w:pPr>
        <w:ind w:left="2301" w:hanging="360"/>
      </w:pPr>
      <w:rPr>
        <w:rFonts w:ascii="Wingdings" w:hAnsi="Wingdings" w:hint="default"/>
      </w:rPr>
    </w:lvl>
    <w:lvl w:ilvl="3" w:tplc="08090001" w:tentative="1">
      <w:start w:val="1"/>
      <w:numFmt w:val="bullet"/>
      <w:lvlText w:val=""/>
      <w:lvlJc w:val="left"/>
      <w:pPr>
        <w:ind w:left="3021" w:hanging="360"/>
      </w:pPr>
      <w:rPr>
        <w:rFonts w:ascii="Symbol" w:hAnsi="Symbol" w:hint="default"/>
      </w:rPr>
    </w:lvl>
    <w:lvl w:ilvl="4" w:tplc="08090003" w:tentative="1">
      <w:start w:val="1"/>
      <w:numFmt w:val="bullet"/>
      <w:lvlText w:val="o"/>
      <w:lvlJc w:val="left"/>
      <w:pPr>
        <w:ind w:left="3741" w:hanging="360"/>
      </w:pPr>
      <w:rPr>
        <w:rFonts w:ascii="Courier New" w:hAnsi="Courier New" w:cs="Courier New" w:hint="default"/>
      </w:rPr>
    </w:lvl>
    <w:lvl w:ilvl="5" w:tplc="08090005" w:tentative="1">
      <w:start w:val="1"/>
      <w:numFmt w:val="bullet"/>
      <w:lvlText w:val=""/>
      <w:lvlJc w:val="left"/>
      <w:pPr>
        <w:ind w:left="4461" w:hanging="360"/>
      </w:pPr>
      <w:rPr>
        <w:rFonts w:ascii="Wingdings" w:hAnsi="Wingdings" w:hint="default"/>
      </w:rPr>
    </w:lvl>
    <w:lvl w:ilvl="6" w:tplc="08090001" w:tentative="1">
      <w:start w:val="1"/>
      <w:numFmt w:val="bullet"/>
      <w:lvlText w:val=""/>
      <w:lvlJc w:val="left"/>
      <w:pPr>
        <w:ind w:left="5181" w:hanging="360"/>
      </w:pPr>
      <w:rPr>
        <w:rFonts w:ascii="Symbol" w:hAnsi="Symbol" w:hint="default"/>
      </w:rPr>
    </w:lvl>
    <w:lvl w:ilvl="7" w:tplc="08090003" w:tentative="1">
      <w:start w:val="1"/>
      <w:numFmt w:val="bullet"/>
      <w:lvlText w:val="o"/>
      <w:lvlJc w:val="left"/>
      <w:pPr>
        <w:ind w:left="5901" w:hanging="360"/>
      </w:pPr>
      <w:rPr>
        <w:rFonts w:ascii="Courier New" w:hAnsi="Courier New" w:cs="Courier New" w:hint="default"/>
      </w:rPr>
    </w:lvl>
    <w:lvl w:ilvl="8" w:tplc="08090005" w:tentative="1">
      <w:start w:val="1"/>
      <w:numFmt w:val="bullet"/>
      <w:lvlText w:val=""/>
      <w:lvlJc w:val="left"/>
      <w:pPr>
        <w:ind w:left="6621" w:hanging="360"/>
      </w:pPr>
      <w:rPr>
        <w:rFonts w:ascii="Wingdings" w:hAnsi="Wingdings" w:hint="default"/>
      </w:rPr>
    </w:lvl>
  </w:abstractNum>
  <w:abstractNum w:abstractNumId="29" w15:restartNumberingAfterBreak="0">
    <w:nsid w:val="4DB0226C"/>
    <w:multiLevelType w:val="multilevel"/>
    <w:tmpl w:val="82CAFBCC"/>
    <w:lvl w:ilvl="0">
      <w:start w:val="1"/>
      <w:numFmt w:val="decimal"/>
      <w:lvlText w:val="%1."/>
      <w:lvlJc w:val="left"/>
      <w:pPr>
        <w:ind w:left="360" w:hanging="360"/>
      </w:pPr>
      <w:rPr>
        <w:color w:val="000000" w:themeColor="text1"/>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4F8B5331"/>
    <w:multiLevelType w:val="multilevel"/>
    <w:tmpl w:val="9A1E211E"/>
    <w:lvl w:ilvl="0">
      <w:start w:val="9"/>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509537D4"/>
    <w:multiLevelType w:val="hybridMultilevel"/>
    <w:tmpl w:val="E42CEA6E"/>
    <w:lvl w:ilvl="0" w:tplc="08090001">
      <w:start w:val="1"/>
      <w:numFmt w:val="bullet"/>
      <w:lvlText w:val=""/>
      <w:lvlJc w:val="left"/>
      <w:pPr>
        <w:tabs>
          <w:tab w:val="num" w:pos="720"/>
        </w:tabs>
        <w:ind w:left="720" w:hanging="360"/>
      </w:pPr>
      <w:rPr>
        <w:rFonts w:ascii="Symbol" w:hAnsi="Symbol" w:cs="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cs="Wingdings" w:hint="default"/>
      </w:rPr>
    </w:lvl>
    <w:lvl w:ilvl="3" w:tplc="08090001">
      <w:start w:val="1"/>
      <w:numFmt w:val="bullet"/>
      <w:lvlText w:val=""/>
      <w:lvlJc w:val="left"/>
      <w:pPr>
        <w:tabs>
          <w:tab w:val="num" w:pos="2880"/>
        </w:tabs>
        <w:ind w:left="2880" w:hanging="360"/>
      </w:pPr>
      <w:rPr>
        <w:rFonts w:ascii="Symbol" w:hAnsi="Symbol" w:cs="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cs="Wingdings" w:hint="default"/>
      </w:rPr>
    </w:lvl>
    <w:lvl w:ilvl="6" w:tplc="08090001">
      <w:start w:val="1"/>
      <w:numFmt w:val="bullet"/>
      <w:lvlText w:val=""/>
      <w:lvlJc w:val="left"/>
      <w:pPr>
        <w:tabs>
          <w:tab w:val="num" w:pos="5040"/>
        </w:tabs>
        <w:ind w:left="5040" w:hanging="360"/>
      </w:pPr>
      <w:rPr>
        <w:rFonts w:ascii="Symbol" w:hAnsi="Symbol" w:cs="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cs="Wingdings" w:hint="default"/>
      </w:rPr>
    </w:lvl>
  </w:abstractNum>
  <w:abstractNum w:abstractNumId="32" w15:restartNumberingAfterBreak="0">
    <w:nsid w:val="52FD7F28"/>
    <w:multiLevelType w:val="multilevel"/>
    <w:tmpl w:val="D7242558"/>
    <w:lvl w:ilvl="0">
      <w:start w:val="5"/>
      <w:numFmt w:val="decimal"/>
      <w:lvlText w:val="%1"/>
      <w:lvlJc w:val="left"/>
      <w:pPr>
        <w:ind w:left="360" w:hanging="36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5C5751EB"/>
    <w:multiLevelType w:val="hybridMultilevel"/>
    <w:tmpl w:val="F138AAB6"/>
    <w:lvl w:ilvl="0" w:tplc="08090001">
      <w:start w:val="1"/>
      <w:numFmt w:val="bullet"/>
      <w:lvlText w:val=""/>
      <w:lvlJc w:val="left"/>
      <w:pPr>
        <w:tabs>
          <w:tab w:val="num" w:pos="720"/>
        </w:tabs>
        <w:ind w:left="720" w:hanging="360"/>
      </w:pPr>
      <w:rPr>
        <w:rFonts w:ascii="Symbol" w:hAnsi="Symbol" w:cs="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cs="Wingdings" w:hint="default"/>
      </w:rPr>
    </w:lvl>
    <w:lvl w:ilvl="3" w:tplc="08090001">
      <w:start w:val="1"/>
      <w:numFmt w:val="bullet"/>
      <w:lvlText w:val=""/>
      <w:lvlJc w:val="left"/>
      <w:pPr>
        <w:tabs>
          <w:tab w:val="num" w:pos="2880"/>
        </w:tabs>
        <w:ind w:left="2880" w:hanging="360"/>
      </w:pPr>
      <w:rPr>
        <w:rFonts w:ascii="Symbol" w:hAnsi="Symbol" w:cs="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cs="Wingdings" w:hint="default"/>
      </w:rPr>
    </w:lvl>
    <w:lvl w:ilvl="6" w:tplc="08090001">
      <w:start w:val="1"/>
      <w:numFmt w:val="bullet"/>
      <w:lvlText w:val=""/>
      <w:lvlJc w:val="left"/>
      <w:pPr>
        <w:tabs>
          <w:tab w:val="num" w:pos="5040"/>
        </w:tabs>
        <w:ind w:left="5040" w:hanging="360"/>
      </w:pPr>
      <w:rPr>
        <w:rFonts w:ascii="Symbol" w:hAnsi="Symbol" w:cs="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cs="Wingdings" w:hint="default"/>
      </w:rPr>
    </w:lvl>
  </w:abstractNum>
  <w:abstractNum w:abstractNumId="34" w15:restartNumberingAfterBreak="0">
    <w:nsid w:val="603638D4"/>
    <w:multiLevelType w:val="hybridMultilevel"/>
    <w:tmpl w:val="C5527FFC"/>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35" w15:restartNumberingAfterBreak="0">
    <w:nsid w:val="61B4125F"/>
    <w:multiLevelType w:val="hybridMultilevel"/>
    <w:tmpl w:val="E230EE76"/>
    <w:lvl w:ilvl="0" w:tplc="C396D682">
      <w:start w:val="1"/>
      <w:numFmt w:val="bullet"/>
      <w:lvlText w:val=""/>
      <w:lvlJc w:val="left"/>
      <w:pPr>
        <w:ind w:left="851" w:hanging="426"/>
      </w:pPr>
      <w:rPr>
        <w:rFonts w:ascii="Symbol" w:hAnsi="Symbol" w:hint="default"/>
      </w:rPr>
    </w:lvl>
    <w:lvl w:ilvl="1" w:tplc="08090005">
      <w:start w:val="1"/>
      <w:numFmt w:val="bullet"/>
      <w:lvlText w:val=""/>
      <w:lvlJc w:val="left"/>
      <w:pPr>
        <w:ind w:left="1794" w:hanging="360"/>
      </w:pPr>
      <w:rPr>
        <w:rFonts w:ascii="Wingdings" w:hAnsi="Wingdings" w:hint="default"/>
      </w:rPr>
    </w:lvl>
    <w:lvl w:ilvl="2" w:tplc="08090005" w:tentative="1">
      <w:start w:val="1"/>
      <w:numFmt w:val="bullet"/>
      <w:lvlText w:val=""/>
      <w:lvlJc w:val="left"/>
      <w:pPr>
        <w:ind w:left="2514" w:hanging="360"/>
      </w:pPr>
      <w:rPr>
        <w:rFonts w:ascii="Wingdings" w:hAnsi="Wingdings" w:hint="default"/>
      </w:rPr>
    </w:lvl>
    <w:lvl w:ilvl="3" w:tplc="08090001" w:tentative="1">
      <w:start w:val="1"/>
      <w:numFmt w:val="bullet"/>
      <w:lvlText w:val=""/>
      <w:lvlJc w:val="left"/>
      <w:pPr>
        <w:ind w:left="3234" w:hanging="360"/>
      </w:pPr>
      <w:rPr>
        <w:rFonts w:ascii="Symbol" w:hAnsi="Symbol" w:hint="default"/>
      </w:rPr>
    </w:lvl>
    <w:lvl w:ilvl="4" w:tplc="08090003" w:tentative="1">
      <w:start w:val="1"/>
      <w:numFmt w:val="bullet"/>
      <w:lvlText w:val="o"/>
      <w:lvlJc w:val="left"/>
      <w:pPr>
        <w:ind w:left="3954" w:hanging="360"/>
      </w:pPr>
      <w:rPr>
        <w:rFonts w:ascii="Courier New" w:hAnsi="Courier New" w:hint="default"/>
      </w:rPr>
    </w:lvl>
    <w:lvl w:ilvl="5" w:tplc="08090005" w:tentative="1">
      <w:start w:val="1"/>
      <w:numFmt w:val="bullet"/>
      <w:lvlText w:val=""/>
      <w:lvlJc w:val="left"/>
      <w:pPr>
        <w:ind w:left="4674" w:hanging="360"/>
      </w:pPr>
      <w:rPr>
        <w:rFonts w:ascii="Wingdings" w:hAnsi="Wingdings" w:hint="default"/>
      </w:rPr>
    </w:lvl>
    <w:lvl w:ilvl="6" w:tplc="08090001" w:tentative="1">
      <w:start w:val="1"/>
      <w:numFmt w:val="bullet"/>
      <w:lvlText w:val=""/>
      <w:lvlJc w:val="left"/>
      <w:pPr>
        <w:ind w:left="5394" w:hanging="360"/>
      </w:pPr>
      <w:rPr>
        <w:rFonts w:ascii="Symbol" w:hAnsi="Symbol" w:hint="default"/>
      </w:rPr>
    </w:lvl>
    <w:lvl w:ilvl="7" w:tplc="08090003" w:tentative="1">
      <w:start w:val="1"/>
      <w:numFmt w:val="bullet"/>
      <w:lvlText w:val="o"/>
      <w:lvlJc w:val="left"/>
      <w:pPr>
        <w:ind w:left="6114" w:hanging="360"/>
      </w:pPr>
      <w:rPr>
        <w:rFonts w:ascii="Courier New" w:hAnsi="Courier New" w:hint="default"/>
      </w:rPr>
    </w:lvl>
    <w:lvl w:ilvl="8" w:tplc="08090005" w:tentative="1">
      <w:start w:val="1"/>
      <w:numFmt w:val="bullet"/>
      <w:lvlText w:val=""/>
      <w:lvlJc w:val="left"/>
      <w:pPr>
        <w:ind w:left="6834" w:hanging="360"/>
      </w:pPr>
      <w:rPr>
        <w:rFonts w:ascii="Wingdings" w:hAnsi="Wingdings" w:hint="default"/>
      </w:rPr>
    </w:lvl>
  </w:abstractNum>
  <w:abstractNum w:abstractNumId="36" w15:restartNumberingAfterBreak="0">
    <w:nsid w:val="61FD009E"/>
    <w:multiLevelType w:val="multilevel"/>
    <w:tmpl w:val="B56463A0"/>
    <w:lvl w:ilvl="0">
      <w:start w:val="4"/>
      <w:numFmt w:val="decimal"/>
      <w:lvlText w:val="%1"/>
      <w:lvlJc w:val="left"/>
      <w:pPr>
        <w:ind w:left="360" w:hanging="360"/>
      </w:pPr>
      <w:rPr>
        <w:rFonts w:hint="default"/>
      </w:rPr>
    </w:lvl>
    <w:lvl w:ilvl="1">
      <w:start w:val="5"/>
      <w:numFmt w:val="decimal"/>
      <w:lvlText w:val="%1.%2"/>
      <w:lvlJc w:val="left"/>
      <w:pPr>
        <w:ind w:left="928" w:hanging="360"/>
      </w:pPr>
      <w:rPr>
        <w:rFonts w:ascii="Arial" w:hAnsi="Arial" w:cs="Arial" w:hint="default"/>
        <w:b/>
        <w:bCs/>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62ED6141"/>
    <w:multiLevelType w:val="hybridMultilevel"/>
    <w:tmpl w:val="A0DC8B64"/>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38" w15:restartNumberingAfterBreak="0">
    <w:nsid w:val="65204105"/>
    <w:multiLevelType w:val="multilevel"/>
    <w:tmpl w:val="2CDEA4D2"/>
    <w:lvl w:ilvl="0">
      <w:start w:val="1"/>
      <w:numFmt w:val="bullet"/>
      <w:lvlText w:val=""/>
      <w:lvlJc w:val="left"/>
      <w:pPr>
        <w:tabs>
          <w:tab w:val="num" w:pos="1800"/>
        </w:tabs>
        <w:ind w:left="1800" w:hanging="360"/>
      </w:pPr>
      <w:rPr>
        <w:rFonts w:ascii="Symbol" w:hAnsi="Symbol" w:cs="Symbol" w:hint="default"/>
      </w:rPr>
    </w:lvl>
    <w:lvl w:ilvl="1">
      <w:start w:val="1"/>
      <w:numFmt w:val="decimal"/>
      <w:lvlText w:val="%1.%2"/>
      <w:lvlJc w:val="left"/>
      <w:pPr>
        <w:tabs>
          <w:tab w:val="num" w:pos="2160"/>
        </w:tabs>
        <w:ind w:left="2160" w:hanging="720"/>
      </w:pPr>
    </w:lvl>
    <w:lvl w:ilvl="2">
      <w:start w:val="1"/>
      <w:numFmt w:val="decimal"/>
      <w:lvlText w:val="%1.%2.%3"/>
      <w:lvlJc w:val="left"/>
      <w:pPr>
        <w:tabs>
          <w:tab w:val="num" w:pos="2160"/>
        </w:tabs>
        <w:ind w:left="2160" w:hanging="720"/>
      </w:pPr>
    </w:lvl>
    <w:lvl w:ilvl="3">
      <w:start w:val="1"/>
      <w:numFmt w:val="none"/>
      <w:lvlText w:val=""/>
      <w:lvlJc w:val="left"/>
      <w:pPr>
        <w:tabs>
          <w:tab w:val="num" w:pos="2160"/>
        </w:tabs>
        <w:ind w:left="2160" w:hanging="720"/>
      </w:pPr>
    </w:lvl>
    <w:lvl w:ilvl="4">
      <w:start w:val="1"/>
      <w:numFmt w:val="bullet"/>
      <w:lvlText w:val=""/>
      <w:lvlJc w:val="left"/>
      <w:pPr>
        <w:tabs>
          <w:tab w:val="num" w:pos="2520"/>
        </w:tabs>
        <w:ind w:left="2520" w:hanging="360"/>
      </w:pPr>
      <w:rPr>
        <w:rFonts w:ascii="Symbol" w:hAnsi="Symbol" w:cs="Symbol" w:hint="default"/>
      </w:rPr>
    </w:lvl>
    <w:lvl w:ilvl="5">
      <w:start w:val="1"/>
      <w:numFmt w:val="bullet"/>
      <w:lvlText w:val=""/>
      <w:lvlJc w:val="left"/>
      <w:pPr>
        <w:tabs>
          <w:tab w:val="num" w:pos="2880"/>
        </w:tabs>
        <w:ind w:left="2880" w:hanging="360"/>
      </w:pPr>
      <w:rPr>
        <w:rFonts w:ascii="Symbol" w:hAnsi="Symbol" w:cs="Symbol" w:hint="default"/>
      </w:rPr>
    </w:lvl>
    <w:lvl w:ilvl="6">
      <w:start w:val="1"/>
      <w:numFmt w:val="none"/>
      <w:lvlText w:val=""/>
      <w:lvlJc w:val="left"/>
      <w:pPr>
        <w:tabs>
          <w:tab w:val="num" w:pos="2520"/>
        </w:tabs>
        <w:ind w:left="2520" w:hanging="360"/>
      </w:pPr>
    </w:lvl>
    <w:lvl w:ilvl="7">
      <w:start w:val="1"/>
      <w:numFmt w:val="none"/>
      <w:lvlText w:val=""/>
      <w:lvlJc w:val="left"/>
      <w:pPr>
        <w:tabs>
          <w:tab w:val="num" w:pos="2880"/>
        </w:tabs>
        <w:ind w:left="2880" w:hanging="360"/>
      </w:pPr>
    </w:lvl>
    <w:lvl w:ilvl="8">
      <w:start w:val="1"/>
      <w:numFmt w:val="bullet"/>
      <w:lvlText w:val=""/>
      <w:lvlJc w:val="left"/>
      <w:pPr>
        <w:tabs>
          <w:tab w:val="num" w:pos="2880"/>
        </w:tabs>
        <w:ind w:left="2880" w:hanging="360"/>
      </w:pPr>
      <w:rPr>
        <w:rFonts w:ascii="Symbol" w:hAnsi="Symbol" w:cs="Symbol" w:hint="default"/>
      </w:rPr>
    </w:lvl>
  </w:abstractNum>
  <w:abstractNum w:abstractNumId="39" w15:restartNumberingAfterBreak="0">
    <w:nsid w:val="719826A3"/>
    <w:multiLevelType w:val="hybridMultilevel"/>
    <w:tmpl w:val="04C44C18"/>
    <w:lvl w:ilvl="0" w:tplc="08090001">
      <w:start w:val="1"/>
      <w:numFmt w:val="bullet"/>
      <w:lvlText w:val=""/>
      <w:lvlJc w:val="left"/>
      <w:pPr>
        <w:tabs>
          <w:tab w:val="num" w:pos="720"/>
        </w:tabs>
        <w:ind w:left="720" w:hanging="360"/>
      </w:pPr>
      <w:rPr>
        <w:rFonts w:ascii="Symbol" w:hAnsi="Symbol" w:cs="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cs="Wingdings" w:hint="default"/>
      </w:rPr>
    </w:lvl>
    <w:lvl w:ilvl="3" w:tplc="08090001">
      <w:start w:val="1"/>
      <w:numFmt w:val="bullet"/>
      <w:lvlText w:val=""/>
      <w:lvlJc w:val="left"/>
      <w:pPr>
        <w:tabs>
          <w:tab w:val="num" w:pos="2880"/>
        </w:tabs>
        <w:ind w:left="2880" w:hanging="360"/>
      </w:pPr>
      <w:rPr>
        <w:rFonts w:ascii="Symbol" w:hAnsi="Symbol" w:cs="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cs="Wingdings" w:hint="default"/>
      </w:rPr>
    </w:lvl>
    <w:lvl w:ilvl="6" w:tplc="08090001">
      <w:start w:val="1"/>
      <w:numFmt w:val="bullet"/>
      <w:lvlText w:val=""/>
      <w:lvlJc w:val="left"/>
      <w:pPr>
        <w:tabs>
          <w:tab w:val="num" w:pos="5040"/>
        </w:tabs>
        <w:ind w:left="5040" w:hanging="360"/>
      </w:pPr>
      <w:rPr>
        <w:rFonts w:ascii="Symbol" w:hAnsi="Symbol" w:cs="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cs="Wingdings" w:hint="default"/>
      </w:rPr>
    </w:lvl>
  </w:abstractNum>
  <w:abstractNum w:abstractNumId="40" w15:restartNumberingAfterBreak="0">
    <w:nsid w:val="72F44252"/>
    <w:multiLevelType w:val="hybridMultilevel"/>
    <w:tmpl w:val="F6C48972"/>
    <w:lvl w:ilvl="0" w:tplc="08090001">
      <w:start w:val="1"/>
      <w:numFmt w:val="bullet"/>
      <w:lvlText w:val=""/>
      <w:lvlJc w:val="left"/>
      <w:pPr>
        <w:ind w:left="1429" w:hanging="360"/>
      </w:pPr>
      <w:rPr>
        <w:rFonts w:ascii="Symbol" w:hAnsi="Symbol" w:hint="default"/>
      </w:rPr>
    </w:lvl>
    <w:lvl w:ilvl="1" w:tplc="08090003">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1" w15:restartNumberingAfterBreak="0">
    <w:nsid w:val="77763FB9"/>
    <w:multiLevelType w:val="hybridMultilevel"/>
    <w:tmpl w:val="CCB0373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42" w15:restartNumberingAfterBreak="0">
    <w:nsid w:val="7D6A0F0B"/>
    <w:multiLevelType w:val="hybridMultilevel"/>
    <w:tmpl w:val="A3AECEA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7DB96E09"/>
    <w:multiLevelType w:val="hybridMultilevel"/>
    <w:tmpl w:val="61CE733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676881339">
    <w:abstractNumId w:val="6"/>
  </w:num>
  <w:num w:numId="2" w16cid:durableId="1557550285">
    <w:abstractNumId w:val="26"/>
  </w:num>
  <w:num w:numId="3" w16cid:durableId="1532913924">
    <w:abstractNumId w:val="35"/>
  </w:num>
  <w:num w:numId="4" w16cid:durableId="1793866104">
    <w:abstractNumId w:val="29"/>
  </w:num>
  <w:num w:numId="5" w16cid:durableId="440145660">
    <w:abstractNumId w:val="3"/>
  </w:num>
  <w:num w:numId="6" w16cid:durableId="1615553034">
    <w:abstractNumId w:val="41"/>
  </w:num>
  <w:num w:numId="7" w16cid:durableId="1936016645">
    <w:abstractNumId w:val="12"/>
  </w:num>
  <w:num w:numId="8" w16cid:durableId="2083331037">
    <w:abstractNumId w:val="18"/>
  </w:num>
  <w:num w:numId="9" w16cid:durableId="790438552">
    <w:abstractNumId w:val="9"/>
    <w:lvlOverride w:ilvl="0">
      <w:lvl w:ilvl="0">
        <w:start w:val="1"/>
        <w:numFmt w:val="decimal"/>
        <w:lvlText w:val="%1."/>
        <w:lvlJc w:val="left"/>
        <w:pPr>
          <w:ind w:left="360" w:hanging="360"/>
        </w:pPr>
        <w:rPr>
          <w:rFonts w:hint="default"/>
        </w:rPr>
      </w:lvl>
    </w:lvlOverride>
    <w:lvlOverride w:ilvl="1">
      <w:lvl w:ilvl="1">
        <w:start w:val="1"/>
        <w:numFmt w:val="decimal"/>
        <w:isLgl/>
        <w:lvlText w:val="%1.%2"/>
        <w:lvlJc w:val="left"/>
        <w:pPr>
          <w:ind w:left="510" w:hanging="510"/>
        </w:pPr>
        <w:rPr>
          <w:rFonts w:hint="default"/>
        </w:rPr>
      </w:lvl>
    </w:lvlOverride>
    <w:lvlOverride w:ilvl="2">
      <w:lvl w:ilvl="2">
        <w:start w:val="1"/>
        <w:numFmt w:val="decimal"/>
        <w:isLgl/>
        <w:lvlText w:val="%1.%2.%3"/>
        <w:lvlJc w:val="left"/>
        <w:pPr>
          <w:ind w:left="720" w:hanging="720"/>
        </w:pPr>
        <w:rPr>
          <w:rFonts w:hint="default"/>
        </w:rPr>
      </w:lvl>
    </w:lvlOverride>
    <w:lvlOverride w:ilvl="3">
      <w:lvl w:ilvl="3">
        <w:start w:val="1"/>
        <w:numFmt w:val="decimal"/>
        <w:isLgl/>
        <w:lvlText w:val="%1.%2.%3.%4"/>
        <w:lvlJc w:val="left"/>
        <w:pPr>
          <w:ind w:left="720" w:hanging="720"/>
        </w:pPr>
        <w:rPr>
          <w:rFonts w:hint="default"/>
        </w:rPr>
      </w:lvl>
    </w:lvlOverride>
    <w:lvlOverride w:ilvl="4">
      <w:lvl w:ilvl="4">
        <w:start w:val="1"/>
        <w:numFmt w:val="decimal"/>
        <w:isLgl/>
        <w:lvlText w:val="%1.%2.%3.%4.%5"/>
        <w:lvlJc w:val="left"/>
        <w:pPr>
          <w:ind w:left="1080" w:hanging="1080"/>
        </w:pPr>
        <w:rPr>
          <w:rFonts w:hint="default"/>
        </w:rPr>
      </w:lvl>
    </w:lvlOverride>
    <w:lvlOverride w:ilvl="5">
      <w:lvl w:ilvl="5">
        <w:start w:val="1"/>
        <w:numFmt w:val="decimal"/>
        <w:isLgl/>
        <w:lvlText w:val="%1.%2.%3.%4.%5.%6"/>
        <w:lvlJc w:val="left"/>
        <w:pPr>
          <w:ind w:left="1080" w:hanging="1080"/>
        </w:pPr>
        <w:rPr>
          <w:rFonts w:hint="default"/>
        </w:rPr>
      </w:lvl>
    </w:lvlOverride>
    <w:lvlOverride w:ilvl="6">
      <w:lvl w:ilvl="6">
        <w:start w:val="1"/>
        <w:numFmt w:val="decimal"/>
        <w:isLgl/>
        <w:lvlText w:val="%1.%2.%3.%4.%5.%6.%7"/>
        <w:lvlJc w:val="left"/>
        <w:pPr>
          <w:ind w:left="1440" w:hanging="1440"/>
        </w:pPr>
        <w:rPr>
          <w:rFonts w:hint="default"/>
        </w:rPr>
      </w:lvl>
    </w:lvlOverride>
    <w:lvlOverride w:ilvl="7">
      <w:lvl w:ilvl="7">
        <w:start w:val="1"/>
        <w:numFmt w:val="decimal"/>
        <w:isLgl/>
        <w:lvlText w:val="%1.%2.%3.%4.%5.%6.%7.%8"/>
        <w:lvlJc w:val="left"/>
        <w:pPr>
          <w:ind w:left="1440" w:hanging="1440"/>
        </w:pPr>
        <w:rPr>
          <w:rFonts w:hint="default"/>
        </w:rPr>
      </w:lvl>
    </w:lvlOverride>
    <w:lvlOverride w:ilvl="8">
      <w:lvl w:ilvl="8">
        <w:start w:val="1"/>
        <w:numFmt w:val="decimal"/>
        <w:isLgl/>
        <w:lvlText w:val="%1.%2.%3.%4.%5.%6.%7.%8.%9"/>
        <w:lvlJc w:val="left"/>
        <w:pPr>
          <w:ind w:left="1800" w:hanging="1800"/>
        </w:pPr>
        <w:rPr>
          <w:rFonts w:hint="default"/>
        </w:rPr>
      </w:lvl>
    </w:lvlOverride>
  </w:num>
  <w:num w:numId="10" w16cid:durableId="1086538780">
    <w:abstractNumId w:val="21"/>
  </w:num>
  <w:num w:numId="11" w16cid:durableId="1428892264">
    <w:abstractNumId w:val="22"/>
  </w:num>
  <w:num w:numId="12" w16cid:durableId="605426278">
    <w:abstractNumId w:val="11"/>
  </w:num>
  <w:num w:numId="13" w16cid:durableId="1495337984">
    <w:abstractNumId w:val="33"/>
  </w:num>
  <w:num w:numId="14" w16cid:durableId="1598099654">
    <w:abstractNumId w:val="4"/>
  </w:num>
  <w:num w:numId="15" w16cid:durableId="1294827125">
    <w:abstractNumId w:val="31"/>
  </w:num>
  <w:num w:numId="16" w16cid:durableId="483934751">
    <w:abstractNumId w:val="1"/>
  </w:num>
  <w:num w:numId="17" w16cid:durableId="1306857016">
    <w:abstractNumId w:val="39"/>
  </w:num>
  <w:num w:numId="18" w16cid:durableId="399403315">
    <w:abstractNumId w:val="38"/>
    <w:lvlOverride w:ilvl="0"/>
    <w:lvlOverride w:ilvl="1">
      <w:startOverride w:val="1"/>
    </w:lvlOverride>
    <w:lvlOverride w:ilvl="2">
      <w:startOverride w:val="1"/>
    </w:lvlOverride>
    <w:lvlOverride w:ilvl="3">
      <w:startOverride w:val="1"/>
    </w:lvlOverride>
    <w:lvlOverride w:ilvl="4"/>
    <w:lvlOverride w:ilvl="5"/>
    <w:lvlOverride w:ilvl="6">
      <w:startOverride w:val="1"/>
    </w:lvlOverride>
    <w:lvlOverride w:ilvl="7">
      <w:startOverride w:val="1"/>
    </w:lvlOverride>
    <w:lvlOverride w:ilvl="8"/>
  </w:num>
  <w:num w:numId="19" w16cid:durableId="938100574">
    <w:abstractNumId w:val="13"/>
  </w:num>
  <w:num w:numId="20" w16cid:durableId="546184376">
    <w:abstractNumId w:val="14"/>
  </w:num>
  <w:num w:numId="21" w16cid:durableId="1235966676">
    <w:abstractNumId w:val="23"/>
  </w:num>
  <w:num w:numId="22" w16cid:durableId="1963074396">
    <w:abstractNumId w:val="42"/>
  </w:num>
  <w:num w:numId="23" w16cid:durableId="2120908535">
    <w:abstractNumId w:val="24"/>
  </w:num>
  <w:num w:numId="24" w16cid:durableId="770006091">
    <w:abstractNumId w:val="10"/>
  </w:num>
  <w:num w:numId="25" w16cid:durableId="2035378857">
    <w:abstractNumId w:val="25"/>
  </w:num>
  <w:num w:numId="26" w16cid:durableId="548302903">
    <w:abstractNumId w:val="15"/>
  </w:num>
  <w:num w:numId="27" w16cid:durableId="140004639">
    <w:abstractNumId w:val="40"/>
  </w:num>
  <w:num w:numId="28" w16cid:durableId="1987587929">
    <w:abstractNumId w:val="32"/>
  </w:num>
  <w:num w:numId="29" w16cid:durableId="1686206212">
    <w:abstractNumId w:val="9"/>
    <w:lvlOverride w:ilvl="0">
      <w:lvl w:ilvl="0">
        <w:start w:val="1"/>
        <w:numFmt w:val="decimal"/>
        <w:lvlText w:val="%1."/>
        <w:lvlJc w:val="left"/>
        <w:pPr>
          <w:ind w:left="357" w:hanging="357"/>
        </w:pPr>
        <w:rPr>
          <w:rFonts w:hint="default"/>
        </w:rPr>
      </w:lvl>
    </w:lvlOverride>
    <w:lvlOverride w:ilvl="1">
      <w:lvl w:ilvl="1">
        <w:start w:val="1"/>
        <w:numFmt w:val="decimal"/>
        <w:isLgl/>
        <w:lvlText w:val="%1.%2"/>
        <w:lvlJc w:val="left"/>
        <w:pPr>
          <w:ind w:left="720" w:hanging="720"/>
        </w:pPr>
        <w:rPr>
          <w:rFonts w:hint="default"/>
          <w:i w:val="0"/>
        </w:rPr>
      </w:lvl>
    </w:lvlOverride>
    <w:lvlOverride w:ilvl="2">
      <w:lvl w:ilvl="2">
        <w:start w:val="1"/>
        <w:numFmt w:val="decimal"/>
        <w:isLgl/>
        <w:lvlText w:val="%1.%2.%3"/>
        <w:lvlJc w:val="left"/>
        <w:pPr>
          <w:ind w:left="357" w:hanging="357"/>
        </w:pPr>
        <w:rPr>
          <w:rFonts w:hint="default"/>
        </w:rPr>
      </w:lvl>
    </w:lvlOverride>
    <w:lvlOverride w:ilvl="3">
      <w:lvl w:ilvl="3">
        <w:start w:val="1"/>
        <w:numFmt w:val="decimal"/>
        <w:isLgl/>
        <w:lvlText w:val="%1.%2.%3.%4"/>
        <w:lvlJc w:val="left"/>
        <w:pPr>
          <w:ind w:left="357" w:hanging="357"/>
        </w:pPr>
        <w:rPr>
          <w:rFonts w:hint="default"/>
        </w:rPr>
      </w:lvl>
    </w:lvlOverride>
    <w:lvlOverride w:ilvl="4">
      <w:lvl w:ilvl="4">
        <w:start w:val="1"/>
        <w:numFmt w:val="decimal"/>
        <w:isLgl/>
        <w:lvlText w:val="%1.%2.%3.%4.%5"/>
        <w:lvlJc w:val="left"/>
        <w:pPr>
          <w:ind w:left="357" w:hanging="357"/>
        </w:pPr>
        <w:rPr>
          <w:rFonts w:hint="default"/>
        </w:rPr>
      </w:lvl>
    </w:lvlOverride>
    <w:lvlOverride w:ilvl="5">
      <w:lvl w:ilvl="5">
        <w:start w:val="1"/>
        <w:numFmt w:val="decimal"/>
        <w:isLgl/>
        <w:lvlText w:val="%1.%2.%3.%4.%5.%6"/>
        <w:lvlJc w:val="left"/>
        <w:pPr>
          <w:ind w:left="357" w:hanging="357"/>
        </w:pPr>
        <w:rPr>
          <w:rFonts w:hint="default"/>
        </w:rPr>
      </w:lvl>
    </w:lvlOverride>
    <w:lvlOverride w:ilvl="6">
      <w:lvl w:ilvl="6">
        <w:start w:val="1"/>
        <w:numFmt w:val="decimal"/>
        <w:isLgl/>
        <w:lvlText w:val="%1.%2.%3.%4.%5.%6.%7"/>
        <w:lvlJc w:val="left"/>
        <w:pPr>
          <w:ind w:left="357" w:hanging="357"/>
        </w:pPr>
        <w:rPr>
          <w:rFonts w:hint="default"/>
        </w:rPr>
      </w:lvl>
    </w:lvlOverride>
    <w:lvlOverride w:ilvl="7">
      <w:lvl w:ilvl="7">
        <w:start w:val="1"/>
        <w:numFmt w:val="decimal"/>
        <w:isLgl/>
        <w:lvlText w:val="%1.%2.%3.%4.%5.%6.%7.%8"/>
        <w:lvlJc w:val="left"/>
        <w:pPr>
          <w:ind w:left="357" w:hanging="357"/>
        </w:pPr>
        <w:rPr>
          <w:rFonts w:hint="default"/>
        </w:rPr>
      </w:lvl>
    </w:lvlOverride>
    <w:lvlOverride w:ilvl="8">
      <w:lvl w:ilvl="8">
        <w:start w:val="1"/>
        <w:numFmt w:val="decimal"/>
        <w:isLgl/>
        <w:lvlText w:val="%1.%2.%3.%4.%5.%6.%7.%8.%9"/>
        <w:lvlJc w:val="left"/>
        <w:pPr>
          <w:ind w:left="357" w:hanging="357"/>
        </w:pPr>
        <w:rPr>
          <w:rFonts w:hint="default"/>
        </w:rPr>
      </w:lvl>
    </w:lvlOverride>
  </w:num>
  <w:num w:numId="30" w16cid:durableId="39209796">
    <w:abstractNumId w:val="9"/>
    <w:lvlOverride w:ilvl="0">
      <w:lvl w:ilvl="0">
        <w:start w:val="1"/>
        <w:numFmt w:val="decimal"/>
        <w:lvlText w:val="%1."/>
        <w:lvlJc w:val="left"/>
        <w:pPr>
          <w:ind w:left="360" w:hanging="360"/>
        </w:pPr>
        <w:rPr>
          <w:rFonts w:hint="default"/>
        </w:rPr>
      </w:lvl>
    </w:lvlOverride>
    <w:lvlOverride w:ilvl="1">
      <w:lvl w:ilvl="1">
        <w:start w:val="1"/>
        <w:numFmt w:val="decimal"/>
        <w:isLgl/>
        <w:lvlText w:val="%1.%2"/>
        <w:lvlJc w:val="left"/>
        <w:pPr>
          <w:ind w:left="720" w:hanging="720"/>
        </w:pPr>
        <w:rPr>
          <w:rFonts w:hint="default"/>
        </w:rPr>
      </w:lvl>
    </w:lvlOverride>
    <w:lvlOverride w:ilvl="2">
      <w:lvl w:ilvl="2">
        <w:start w:val="1"/>
        <w:numFmt w:val="decimal"/>
        <w:isLgl/>
        <w:lvlText w:val="%1.%2.%3"/>
        <w:lvlJc w:val="left"/>
        <w:pPr>
          <w:ind w:left="720" w:hanging="720"/>
        </w:pPr>
        <w:rPr>
          <w:rFonts w:hint="default"/>
        </w:rPr>
      </w:lvl>
    </w:lvlOverride>
    <w:lvlOverride w:ilvl="3">
      <w:lvl w:ilvl="3">
        <w:start w:val="1"/>
        <w:numFmt w:val="decimal"/>
        <w:isLgl/>
        <w:lvlText w:val="%1.%2.%3.%4"/>
        <w:lvlJc w:val="left"/>
        <w:pPr>
          <w:ind w:left="720" w:hanging="720"/>
        </w:pPr>
        <w:rPr>
          <w:rFonts w:hint="default"/>
        </w:rPr>
      </w:lvl>
    </w:lvlOverride>
    <w:lvlOverride w:ilvl="4">
      <w:lvl w:ilvl="4">
        <w:start w:val="1"/>
        <w:numFmt w:val="decimal"/>
        <w:isLgl/>
        <w:lvlText w:val="%1.%2.%3.%4.%5"/>
        <w:lvlJc w:val="left"/>
        <w:pPr>
          <w:ind w:left="1080" w:hanging="1080"/>
        </w:pPr>
        <w:rPr>
          <w:rFonts w:hint="default"/>
        </w:rPr>
      </w:lvl>
    </w:lvlOverride>
    <w:lvlOverride w:ilvl="5">
      <w:lvl w:ilvl="5">
        <w:start w:val="1"/>
        <w:numFmt w:val="decimal"/>
        <w:isLgl/>
        <w:lvlText w:val="%1.%2.%3.%4.%5.%6"/>
        <w:lvlJc w:val="left"/>
        <w:pPr>
          <w:ind w:left="1080" w:hanging="1080"/>
        </w:pPr>
        <w:rPr>
          <w:rFonts w:hint="default"/>
        </w:rPr>
      </w:lvl>
    </w:lvlOverride>
    <w:lvlOverride w:ilvl="6">
      <w:lvl w:ilvl="6">
        <w:start w:val="1"/>
        <w:numFmt w:val="decimal"/>
        <w:isLgl/>
        <w:lvlText w:val="%1.%2.%3.%4.%5.%6.%7"/>
        <w:lvlJc w:val="left"/>
        <w:pPr>
          <w:ind w:left="1440" w:hanging="1440"/>
        </w:pPr>
        <w:rPr>
          <w:rFonts w:hint="default"/>
        </w:rPr>
      </w:lvl>
    </w:lvlOverride>
    <w:lvlOverride w:ilvl="7">
      <w:lvl w:ilvl="7">
        <w:start w:val="1"/>
        <w:numFmt w:val="decimal"/>
        <w:isLgl/>
        <w:lvlText w:val="%1.%2.%3.%4.%5.%6.%7.%8"/>
        <w:lvlJc w:val="left"/>
        <w:pPr>
          <w:ind w:left="1440" w:hanging="1440"/>
        </w:pPr>
        <w:rPr>
          <w:rFonts w:hint="default"/>
        </w:rPr>
      </w:lvl>
    </w:lvlOverride>
    <w:lvlOverride w:ilvl="8">
      <w:lvl w:ilvl="8">
        <w:start w:val="1"/>
        <w:numFmt w:val="decimal"/>
        <w:isLgl/>
        <w:lvlText w:val="%1.%2.%3.%4.%5.%6.%7.%8.%9"/>
        <w:lvlJc w:val="left"/>
        <w:pPr>
          <w:ind w:left="1800" w:hanging="1800"/>
        </w:pPr>
        <w:rPr>
          <w:rFonts w:hint="default"/>
        </w:rPr>
      </w:lvl>
    </w:lvlOverride>
  </w:num>
  <w:num w:numId="31" w16cid:durableId="1310284850">
    <w:abstractNumId w:val="9"/>
    <w:lvlOverride w:ilvl="0">
      <w:lvl w:ilvl="0">
        <w:start w:val="1"/>
        <w:numFmt w:val="decimal"/>
        <w:lvlText w:val="%1."/>
        <w:lvlJc w:val="left"/>
        <w:pPr>
          <w:ind w:left="360" w:hanging="360"/>
        </w:pPr>
        <w:rPr>
          <w:rFonts w:hint="default"/>
        </w:rPr>
      </w:lvl>
    </w:lvlOverride>
    <w:lvlOverride w:ilvl="1">
      <w:lvl w:ilvl="1">
        <w:start w:val="1"/>
        <w:numFmt w:val="decimal"/>
        <w:isLgl/>
        <w:lvlText w:val="%1.%2"/>
        <w:lvlJc w:val="left"/>
        <w:pPr>
          <w:ind w:left="680" w:hanging="680"/>
        </w:pPr>
        <w:rPr>
          <w:rFonts w:hint="default"/>
        </w:rPr>
      </w:lvl>
    </w:lvlOverride>
    <w:lvlOverride w:ilvl="2">
      <w:lvl w:ilvl="2">
        <w:start w:val="1"/>
        <w:numFmt w:val="decimal"/>
        <w:isLgl/>
        <w:lvlText w:val="%1.%2.%3"/>
        <w:lvlJc w:val="left"/>
        <w:pPr>
          <w:ind w:left="720" w:hanging="720"/>
        </w:pPr>
        <w:rPr>
          <w:rFonts w:hint="default"/>
        </w:rPr>
      </w:lvl>
    </w:lvlOverride>
    <w:lvlOverride w:ilvl="3">
      <w:lvl w:ilvl="3">
        <w:start w:val="1"/>
        <w:numFmt w:val="decimal"/>
        <w:isLgl/>
        <w:lvlText w:val="%1.%2.%3.%4"/>
        <w:lvlJc w:val="left"/>
        <w:pPr>
          <w:ind w:left="720" w:hanging="720"/>
        </w:pPr>
        <w:rPr>
          <w:rFonts w:hint="default"/>
        </w:rPr>
      </w:lvl>
    </w:lvlOverride>
    <w:lvlOverride w:ilvl="4">
      <w:lvl w:ilvl="4">
        <w:start w:val="1"/>
        <w:numFmt w:val="decimal"/>
        <w:isLgl/>
        <w:lvlText w:val="%1.%2.%3.%4.%5"/>
        <w:lvlJc w:val="left"/>
        <w:pPr>
          <w:ind w:left="1080" w:hanging="1080"/>
        </w:pPr>
        <w:rPr>
          <w:rFonts w:hint="default"/>
        </w:rPr>
      </w:lvl>
    </w:lvlOverride>
    <w:lvlOverride w:ilvl="5">
      <w:lvl w:ilvl="5">
        <w:start w:val="1"/>
        <w:numFmt w:val="decimal"/>
        <w:isLgl/>
        <w:lvlText w:val="%1.%2.%3.%4.%5.%6"/>
        <w:lvlJc w:val="left"/>
        <w:pPr>
          <w:ind w:left="1080" w:hanging="1080"/>
        </w:pPr>
        <w:rPr>
          <w:rFonts w:hint="default"/>
        </w:rPr>
      </w:lvl>
    </w:lvlOverride>
    <w:lvlOverride w:ilvl="6">
      <w:lvl w:ilvl="6">
        <w:start w:val="1"/>
        <w:numFmt w:val="decimal"/>
        <w:isLgl/>
        <w:lvlText w:val="%1.%2.%3.%4.%5.%6.%7"/>
        <w:lvlJc w:val="left"/>
        <w:pPr>
          <w:ind w:left="1440" w:hanging="1440"/>
        </w:pPr>
        <w:rPr>
          <w:rFonts w:hint="default"/>
        </w:rPr>
      </w:lvl>
    </w:lvlOverride>
    <w:lvlOverride w:ilvl="7">
      <w:lvl w:ilvl="7">
        <w:start w:val="1"/>
        <w:numFmt w:val="decimal"/>
        <w:isLgl/>
        <w:lvlText w:val="%1.%2.%3.%4.%5.%6.%7.%8"/>
        <w:lvlJc w:val="left"/>
        <w:pPr>
          <w:ind w:left="1440" w:hanging="1440"/>
        </w:pPr>
        <w:rPr>
          <w:rFonts w:hint="default"/>
        </w:rPr>
      </w:lvl>
    </w:lvlOverride>
    <w:lvlOverride w:ilvl="8">
      <w:lvl w:ilvl="8">
        <w:start w:val="1"/>
        <w:numFmt w:val="decimal"/>
        <w:isLgl/>
        <w:lvlText w:val="%1.%2.%3.%4.%5.%6.%7.%8.%9"/>
        <w:lvlJc w:val="left"/>
        <w:pPr>
          <w:ind w:left="1800" w:hanging="1800"/>
        </w:pPr>
        <w:rPr>
          <w:rFonts w:hint="default"/>
        </w:rPr>
      </w:lvl>
    </w:lvlOverride>
  </w:num>
  <w:num w:numId="32" w16cid:durableId="1088115034">
    <w:abstractNumId w:val="9"/>
    <w:lvlOverride w:ilvl="0">
      <w:lvl w:ilvl="0">
        <w:start w:val="1"/>
        <w:numFmt w:val="decimal"/>
        <w:lvlText w:val="%1."/>
        <w:lvlJc w:val="left"/>
        <w:pPr>
          <w:ind w:left="357" w:hanging="357"/>
        </w:pPr>
        <w:rPr>
          <w:rFonts w:hint="default"/>
        </w:rPr>
      </w:lvl>
    </w:lvlOverride>
    <w:lvlOverride w:ilvl="1">
      <w:lvl w:ilvl="1">
        <w:start w:val="1"/>
        <w:numFmt w:val="decimal"/>
        <w:isLgl/>
        <w:lvlText w:val="%1.%2"/>
        <w:lvlJc w:val="left"/>
        <w:pPr>
          <w:ind w:left="720" w:hanging="720"/>
        </w:pPr>
        <w:rPr>
          <w:rFonts w:hint="default"/>
          <w:i w:val="0"/>
        </w:rPr>
      </w:lvl>
    </w:lvlOverride>
    <w:lvlOverride w:ilvl="2">
      <w:lvl w:ilvl="2">
        <w:start w:val="1"/>
        <w:numFmt w:val="decimal"/>
        <w:isLgl/>
        <w:lvlText w:val="%1.%2.%3"/>
        <w:lvlJc w:val="left"/>
        <w:pPr>
          <w:ind w:left="357" w:hanging="357"/>
        </w:pPr>
        <w:rPr>
          <w:rFonts w:hint="default"/>
        </w:rPr>
      </w:lvl>
    </w:lvlOverride>
    <w:lvlOverride w:ilvl="3">
      <w:lvl w:ilvl="3">
        <w:start w:val="1"/>
        <w:numFmt w:val="decimal"/>
        <w:isLgl/>
        <w:lvlText w:val="%1.%2.%3.%4"/>
        <w:lvlJc w:val="left"/>
        <w:pPr>
          <w:ind w:left="357" w:hanging="357"/>
        </w:pPr>
        <w:rPr>
          <w:rFonts w:hint="default"/>
        </w:rPr>
      </w:lvl>
    </w:lvlOverride>
    <w:lvlOverride w:ilvl="4">
      <w:lvl w:ilvl="4">
        <w:start w:val="1"/>
        <w:numFmt w:val="decimal"/>
        <w:isLgl/>
        <w:lvlText w:val="%1.%2.%3.%4.%5"/>
        <w:lvlJc w:val="left"/>
        <w:pPr>
          <w:ind w:left="357" w:hanging="357"/>
        </w:pPr>
        <w:rPr>
          <w:rFonts w:hint="default"/>
        </w:rPr>
      </w:lvl>
    </w:lvlOverride>
    <w:lvlOverride w:ilvl="5">
      <w:lvl w:ilvl="5">
        <w:start w:val="1"/>
        <w:numFmt w:val="decimal"/>
        <w:isLgl/>
        <w:lvlText w:val="%1.%2.%3.%4.%5.%6"/>
        <w:lvlJc w:val="left"/>
        <w:pPr>
          <w:ind w:left="357" w:hanging="357"/>
        </w:pPr>
        <w:rPr>
          <w:rFonts w:hint="default"/>
        </w:rPr>
      </w:lvl>
    </w:lvlOverride>
    <w:lvlOverride w:ilvl="6">
      <w:lvl w:ilvl="6">
        <w:start w:val="1"/>
        <w:numFmt w:val="decimal"/>
        <w:isLgl/>
        <w:lvlText w:val="%1.%2.%3.%4.%5.%6.%7"/>
        <w:lvlJc w:val="left"/>
        <w:pPr>
          <w:ind w:left="357" w:hanging="357"/>
        </w:pPr>
        <w:rPr>
          <w:rFonts w:hint="default"/>
        </w:rPr>
      </w:lvl>
    </w:lvlOverride>
    <w:lvlOverride w:ilvl="7">
      <w:lvl w:ilvl="7">
        <w:start w:val="1"/>
        <w:numFmt w:val="decimal"/>
        <w:isLgl/>
        <w:lvlText w:val="%1.%2.%3.%4.%5.%6.%7.%8"/>
        <w:lvlJc w:val="left"/>
        <w:pPr>
          <w:ind w:left="357" w:hanging="357"/>
        </w:pPr>
        <w:rPr>
          <w:rFonts w:hint="default"/>
        </w:rPr>
      </w:lvl>
    </w:lvlOverride>
    <w:lvlOverride w:ilvl="8">
      <w:lvl w:ilvl="8">
        <w:start w:val="1"/>
        <w:numFmt w:val="decimal"/>
        <w:isLgl/>
        <w:lvlText w:val="%1.%2.%3.%4.%5.%6.%7.%8.%9"/>
        <w:lvlJc w:val="left"/>
        <w:pPr>
          <w:ind w:left="357" w:hanging="357"/>
        </w:pPr>
        <w:rPr>
          <w:rFonts w:hint="default"/>
        </w:rPr>
      </w:lvl>
    </w:lvlOverride>
  </w:num>
  <w:num w:numId="33" w16cid:durableId="1826823687">
    <w:abstractNumId w:val="9"/>
    <w:lvlOverride w:ilvl="0">
      <w:lvl w:ilvl="0">
        <w:start w:val="1"/>
        <w:numFmt w:val="decimal"/>
        <w:lvlText w:val="%1."/>
        <w:lvlJc w:val="left"/>
        <w:pPr>
          <w:ind w:left="360" w:hanging="360"/>
        </w:pPr>
        <w:rPr>
          <w:rFonts w:hint="default"/>
        </w:rPr>
      </w:lvl>
    </w:lvlOverride>
    <w:lvlOverride w:ilvl="1">
      <w:lvl w:ilvl="1">
        <w:start w:val="1"/>
        <w:numFmt w:val="decimal"/>
        <w:isLgl/>
        <w:lvlText w:val="%1.%2"/>
        <w:lvlJc w:val="left"/>
        <w:pPr>
          <w:ind w:left="720" w:hanging="720"/>
        </w:pPr>
        <w:rPr>
          <w:rFonts w:hint="default"/>
        </w:rPr>
      </w:lvl>
    </w:lvlOverride>
    <w:lvlOverride w:ilvl="2">
      <w:lvl w:ilvl="2">
        <w:start w:val="1"/>
        <w:numFmt w:val="decimal"/>
        <w:isLgl/>
        <w:lvlText w:val="%1.%2.%3"/>
        <w:lvlJc w:val="left"/>
        <w:pPr>
          <w:ind w:left="720" w:hanging="720"/>
        </w:pPr>
        <w:rPr>
          <w:rFonts w:hint="default"/>
        </w:rPr>
      </w:lvl>
    </w:lvlOverride>
    <w:lvlOverride w:ilvl="3">
      <w:lvl w:ilvl="3">
        <w:start w:val="1"/>
        <w:numFmt w:val="decimal"/>
        <w:isLgl/>
        <w:lvlText w:val="%1.%2.%3.%4"/>
        <w:lvlJc w:val="left"/>
        <w:pPr>
          <w:ind w:left="720" w:hanging="720"/>
        </w:pPr>
        <w:rPr>
          <w:rFonts w:hint="default"/>
        </w:rPr>
      </w:lvl>
    </w:lvlOverride>
    <w:lvlOverride w:ilvl="4">
      <w:lvl w:ilvl="4">
        <w:start w:val="1"/>
        <w:numFmt w:val="decimal"/>
        <w:isLgl/>
        <w:lvlText w:val="%1.%2.%3.%4.%5"/>
        <w:lvlJc w:val="left"/>
        <w:pPr>
          <w:ind w:left="1080" w:hanging="1080"/>
        </w:pPr>
        <w:rPr>
          <w:rFonts w:hint="default"/>
        </w:rPr>
      </w:lvl>
    </w:lvlOverride>
    <w:lvlOverride w:ilvl="5">
      <w:lvl w:ilvl="5">
        <w:start w:val="1"/>
        <w:numFmt w:val="decimal"/>
        <w:isLgl/>
        <w:lvlText w:val="%1.%2.%3.%4.%5.%6"/>
        <w:lvlJc w:val="left"/>
        <w:pPr>
          <w:ind w:left="1080" w:hanging="1080"/>
        </w:pPr>
        <w:rPr>
          <w:rFonts w:hint="default"/>
        </w:rPr>
      </w:lvl>
    </w:lvlOverride>
    <w:lvlOverride w:ilvl="6">
      <w:lvl w:ilvl="6">
        <w:start w:val="1"/>
        <w:numFmt w:val="decimal"/>
        <w:isLgl/>
        <w:lvlText w:val="%1.%2.%3.%4.%5.%6.%7"/>
        <w:lvlJc w:val="left"/>
        <w:pPr>
          <w:ind w:left="1440" w:hanging="1440"/>
        </w:pPr>
        <w:rPr>
          <w:rFonts w:hint="default"/>
        </w:rPr>
      </w:lvl>
    </w:lvlOverride>
    <w:lvlOverride w:ilvl="7">
      <w:lvl w:ilvl="7">
        <w:start w:val="1"/>
        <w:numFmt w:val="decimal"/>
        <w:isLgl/>
        <w:lvlText w:val="%1.%2.%3.%4.%5.%6.%7.%8"/>
        <w:lvlJc w:val="left"/>
        <w:pPr>
          <w:ind w:left="1440" w:hanging="1440"/>
        </w:pPr>
        <w:rPr>
          <w:rFonts w:hint="default"/>
        </w:rPr>
      </w:lvl>
    </w:lvlOverride>
    <w:lvlOverride w:ilvl="8">
      <w:lvl w:ilvl="8">
        <w:start w:val="1"/>
        <w:numFmt w:val="decimal"/>
        <w:isLgl/>
        <w:lvlText w:val="%1.%2.%3.%4.%5.%6.%7.%8.%9"/>
        <w:lvlJc w:val="left"/>
        <w:pPr>
          <w:ind w:left="1800" w:hanging="1800"/>
        </w:pPr>
        <w:rPr>
          <w:rFonts w:hint="default"/>
        </w:rPr>
      </w:lvl>
    </w:lvlOverride>
  </w:num>
  <w:num w:numId="34" w16cid:durableId="976102516">
    <w:abstractNumId w:val="32"/>
    <w:lvlOverride w:ilvl="0">
      <w:lvl w:ilvl="0">
        <w:start w:val="5"/>
        <w:numFmt w:val="decimal"/>
        <w:lvlText w:val="%1"/>
        <w:lvlJc w:val="left"/>
        <w:pPr>
          <w:ind w:left="360" w:hanging="360"/>
        </w:pPr>
        <w:rPr>
          <w:rFonts w:hint="default"/>
        </w:rPr>
      </w:lvl>
    </w:lvlOverride>
    <w:lvlOverride w:ilvl="1">
      <w:lvl w:ilvl="1">
        <w:start w:val="6"/>
        <w:numFmt w:val="decimal"/>
        <w:lvlText w:val="%1.%2"/>
        <w:lvlJc w:val="left"/>
        <w:pPr>
          <w:ind w:left="720" w:hanging="720"/>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720" w:hanging="72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080" w:hanging="1080"/>
        </w:pPr>
        <w:rPr>
          <w:rFonts w:hint="default"/>
        </w:rPr>
      </w:lvl>
    </w:lvlOverride>
    <w:lvlOverride w:ilvl="6">
      <w:lvl w:ilvl="6">
        <w:start w:val="1"/>
        <w:numFmt w:val="decimal"/>
        <w:lvlText w:val="%1.%2.%3.%4.%5.%6.%7"/>
        <w:lvlJc w:val="left"/>
        <w:pPr>
          <w:ind w:left="1440" w:hanging="1440"/>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800" w:hanging="1800"/>
        </w:pPr>
        <w:rPr>
          <w:rFonts w:hint="default"/>
        </w:rPr>
      </w:lvl>
    </w:lvlOverride>
  </w:num>
  <w:num w:numId="35" w16cid:durableId="562834532">
    <w:abstractNumId w:val="32"/>
    <w:lvlOverride w:ilvl="0">
      <w:lvl w:ilvl="0">
        <w:start w:val="5"/>
        <w:numFmt w:val="decimal"/>
        <w:lvlText w:val="%1"/>
        <w:lvlJc w:val="left"/>
        <w:pPr>
          <w:ind w:left="360" w:hanging="360"/>
        </w:pPr>
        <w:rPr>
          <w:rFonts w:hint="default"/>
        </w:rPr>
      </w:lvl>
    </w:lvlOverride>
    <w:lvlOverride w:ilvl="1">
      <w:lvl w:ilvl="1">
        <w:start w:val="6"/>
        <w:numFmt w:val="decimal"/>
        <w:lvlText w:val="%1.%2"/>
        <w:lvlJc w:val="left"/>
        <w:pPr>
          <w:ind w:left="720" w:hanging="720"/>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720" w:hanging="72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080" w:hanging="1080"/>
        </w:pPr>
        <w:rPr>
          <w:rFonts w:hint="default"/>
        </w:rPr>
      </w:lvl>
    </w:lvlOverride>
    <w:lvlOverride w:ilvl="6">
      <w:lvl w:ilvl="6">
        <w:start w:val="1"/>
        <w:numFmt w:val="decimal"/>
        <w:lvlText w:val="%1.%2.%3.%4.%5.%6.%7"/>
        <w:lvlJc w:val="left"/>
        <w:pPr>
          <w:ind w:left="1440" w:hanging="1440"/>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800" w:hanging="1800"/>
        </w:pPr>
        <w:rPr>
          <w:rFonts w:hint="default"/>
        </w:rPr>
      </w:lvl>
    </w:lvlOverride>
  </w:num>
  <w:num w:numId="36" w16cid:durableId="73674794">
    <w:abstractNumId w:val="9"/>
    <w:lvlOverride w:ilvl="0">
      <w:lvl w:ilvl="0">
        <w:start w:val="1"/>
        <w:numFmt w:val="decimal"/>
        <w:lvlText w:val="%1."/>
        <w:lvlJc w:val="left"/>
        <w:pPr>
          <w:ind w:left="357" w:hanging="357"/>
        </w:pPr>
        <w:rPr>
          <w:rFonts w:hint="default"/>
        </w:rPr>
      </w:lvl>
    </w:lvlOverride>
    <w:lvlOverride w:ilvl="1">
      <w:lvl w:ilvl="1">
        <w:numFmt w:val="decimal"/>
        <w:isLgl/>
        <w:lvlText w:val="%1.%2"/>
        <w:lvlJc w:val="left"/>
        <w:pPr>
          <w:ind w:left="720" w:hanging="720"/>
        </w:pPr>
        <w:rPr>
          <w:rFonts w:hint="default"/>
        </w:rPr>
      </w:lvl>
    </w:lvlOverride>
    <w:lvlOverride w:ilvl="2">
      <w:lvl w:ilvl="2">
        <w:start w:val="1"/>
        <w:numFmt w:val="decimal"/>
        <w:isLgl/>
        <w:lvlText w:val="%1.%2.%3"/>
        <w:lvlJc w:val="left"/>
        <w:pPr>
          <w:ind w:left="357" w:hanging="357"/>
        </w:pPr>
        <w:rPr>
          <w:rFonts w:hint="default"/>
          <w:b w:val="0"/>
          <w:i w:val="0"/>
        </w:rPr>
      </w:lvl>
    </w:lvlOverride>
    <w:lvlOverride w:ilvl="3">
      <w:lvl w:ilvl="3">
        <w:start w:val="1"/>
        <w:numFmt w:val="decimal"/>
        <w:isLgl/>
        <w:lvlText w:val="%1.%2.%3.%4"/>
        <w:lvlJc w:val="left"/>
        <w:pPr>
          <w:ind w:left="714" w:hanging="714"/>
        </w:pPr>
        <w:rPr>
          <w:rFonts w:hint="default"/>
          <w:b w:val="0"/>
        </w:rPr>
      </w:lvl>
    </w:lvlOverride>
    <w:lvlOverride w:ilvl="4">
      <w:lvl w:ilvl="4">
        <w:start w:val="1"/>
        <w:numFmt w:val="decimal"/>
        <w:isLgl/>
        <w:lvlText w:val="%1.%2.%3.%4.%5"/>
        <w:lvlJc w:val="left"/>
        <w:pPr>
          <w:ind w:left="357" w:hanging="357"/>
        </w:pPr>
        <w:rPr>
          <w:rFonts w:hint="default"/>
        </w:rPr>
      </w:lvl>
    </w:lvlOverride>
    <w:lvlOverride w:ilvl="5">
      <w:lvl w:ilvl="5">
        <w:start w:val="1"/>
        <w:numFmt w:val="decimal"/>
        <w:isLgl/>
        <w:lvlText w:val="%1.%2.%3.%4.%5.%6"/>
        <w:lvlJc w:val="left"/>
        <w:pPr>
          <w:ind w:left="357" w:hanging="357"/>
        </w:pPr>
        <w:rPr>
          <w:rFonts w:hint="default"/>
        </w:rPr>
      </w:lvl>
    </w:lvlOverride>
    <w:lvlOverride w:ilvl="6">
      <w:lvl w:ilvl="6">
        <w:start w:val="1"/>
        <w:numFmt w:val="decimal"/>
        <w:isLgl/>
        <w:lvlText w:val="%1.%2.%3.%4.%5.%6.%7"/>
        <w:lvlJc w:val="left"/>
        <w:pPr>
          <w:ind w:left="357" w:hanging="357"/>
        </w:pPr>
        <w:rPr>
          <w:rFonts w:hint="default"/>
        </w:rPr>
      </w:lvl>
    </w:lvlOverride>
    <w:lvlOverride w:ilvl="7">
      <w:lvl w:ilvl="7">
        <w:start w:val="1"/>
        <w:numFmt w:val="decimal"/>
        <w:isLgl/>
        <w:lvlText w:val="%1.%2.%3.%4.%5.%6.%7.%8"/>
        <w:lvlJc w:val="left"/>
        <w:pPr>
          <w:ind w:left="357" w:hanging="357"/>
        </w:pPr>
        <w:rPr>
          <w:rFonts w:hint="default"/>
        </w:rPr>
      </w:lvl>
    </w:lvlOverride>
    <w:lvlOverride w:ilvl="8">
      <w:lvl w:ilvl="8">
        <w:start w:val="1"/>
        <w:numFmt w:val="decimal"/>
        <w:isLgl/>
        <w:lvlText w:val="%1.%2.%3.%4.%5.%6.%7.%8.%9"/>
        <w:lvlJc w:val="left"/>
        <w:pPr>
          <w:ind w:left="357" w:hanging="357"/>
        </w:pPr>
        <w:rPr>
          <w:rFonts w:hint="default"/>
        </w:rPr>
      </w:lvl>
    </w:lvlOverride>
  </w:num>
  <w:num w:numId="37" w16cid:durableId="2132898835">
    <w:abstractNumId w:val="9"/>
    <w:lvlOverride w:ilvl="0">
      <w:lvl w:ilvl="0">
        <w:start w:val="1"/>
        <w:numFmt w:val="decimal"/>
        <w:lvlText w:val="%1."/>
        <w:lvlJc w:val="left"/>
        <w:pPr>
          <w:ind w:left="357" w:hanging="357"/>
        </w:pPr>
        <w:rPr>
          <w:rFonts w:hint="default"/>
        </w:rPr>
      </w:lvl>
    </w:lvlOverride>
    <w:lvlOverride w:ilvl="1">
      <w:lvl w:ilvl="1">
        <w:numFmt w:val="decimal"/>
        <w:isLgl/>
        <w:lvlText w:val="%1.%2"/>
        <w:lvlJc w:val="left"/>
        <w:pPr>
          <w:ind w:left="720" w:hanging="720"/>
        </w:pPr>
        <w:rPr>
          <w:rFonts w:hint="default"/>
        </w:rPr>
      </w:lvl>
    </w:lvlOverride>
    <w:lvlOverride w:ilvl="2">
      <w:lvl w:ilvl="2">
        <w:start w:val="1"/>
        <w:numFmt w:val="decimal"/>
        <w:isLgl/>
        <w:lvlText w:val="%1.%2.%3"/>
        <w:lvlJc w:val="left"/>
        <w:pPr>
          <w:ind w:left="357" w:hanging="357"/>
        </w:pPr>
        <w:rPr>
          <w:rFonts w:hint="default"/>
        </w:rPr>
      </w:lvl>
    </w:lvlOverride>
    <w:lvlOverride w:ilvl="3">
      <w:lvl w:ilvl="3">
        <w:start w:val="1"/>
        <w:numFmt w:val="decimal"/>
        <w:isLgl/>
        <w:lvlText w:val="%1.%2.%3.%4"/>
        <w:lvlJc w:val="left"/>
        <w:pPr>
          <w:ind w:left="714" w:hanging="714"/>
        </w:pPr>
        <w:rPr>
          <w:rFonts w:hint="default"/>
        </w:rPr>
      </w:lvl>
    </w:lvlOverride>
    <w:lvlOverride w:ilvl="4">
      <w:lvl w:ilvl="4">
        <w:start w:val="1"/>
        <w:numFmt w:val="decimal"/>
        <w:isLgl/>
        <w:lvlText w:val="%1.%2.%3.%4.%5"/>
        <w:lvlJc w:val="left"/>
        <w:pPr>
          <w:ind w:left="357" w:hanging="357"/>
        </w:pPr>
        <w:rPr>
          <w:rFonts w:hint="default"/>
        </w:rPr>
      </w:lvl>
    </w:lvlOverride>
    <w:lvlOverride w:ilvl="5">
      <w:lvl w:ilvl="5">
        <w:start w:val="1"/>
        <w:numFmt w:val="decimal"/>
        <w:isLgl/>
        <w:lvlText w:val="%1.%2.%3.%4.%5.%6"/>
        <w:lvlJc w:val="left"/>
        <w:pPr>
          <w:ind w:left="357" w:hanging="357"/>
        </w:pPr>
        <w:rPr>
          <w:rFonts w:hint="default"/>
        </w:rPr>
      </w:lvl>
    </w:lvlOverride>
    <w:lvlOverride w:ilvl="6">
      <w:lvl w:ilvl="6">
        <w:start w:val="1"/>
        <w:numFmt w:val="decimal"/>
        <w:isLgl/>
        <w:lvlText w:val="%1.%2.%3.%4.%5.%6.%7"/>
        <w:lvlJc w:val="left"/>
        <w:pPr>
          <w:ind w:left="357" w:hanging="357"/>
        </w:pPr>
        <w:rPr>
          <w:rFonts w:hint="default"/>
        </w:rPr>
      </w:lvl>
    </w:lvlOverride>
    <w:lvlOverride w:ilvl="7">
      <w:lvl w:ilvl="7">
        <w:start w:val="1"/>
        <w:numFmt w:val="decimal"/>
        <w:isLgl/>
        <w:lvlText w:val="%1.%2.%3.%4.%5.%6.%7.%8"/>
        <w:lvlJc w:val="left"/>
        <w:pPr>
          <w:ind w:left="357" w:hanging="357"/>
        </w:pPr>
        <w:rPr>
          <w:rFonts w:hint="default"/>
        </w:rPr>
      </w:lvl>
    </w:lvlOverride>
    <w:lvlOverride w:ilvl="8">
      <w:lvl w:ilvl="8">
        <w:start w:val="1"/>
        <w:numFmt w:val="decimal"/>
        <w:isLgl/>
        <w:lvlText w:val="%1.%2.%3.%4.%5.%6.%7.%8.%9"/>
        <w:lvlJc w:val="left"/>
        <w:pPr>
          <w:ind w:left="357" w:hanging="357"/>
        </w:pPr>
        <w:rPr>
          <w:rFonts w:hint="default"/>
        </w:rPr>
      </w:lvl>
    </w:lvlOverride>
  </w:num>
  <w:num w:numId="38" w16cid:durableId="545261609">
    <w:abstractNumId w:val="9"/>
    <w:lvlOverride w:ilvl="0">
      <w:lvl w:ilvl="0">
        <w:start w:val="1"/>
        <w:numFmt w:val="decimal"/>
        <w:lvlText w:val="%1."/>
        <w:lvlJc w:val="left"/>
        <w:pPr>
          <w:ind w:left="357" w:hanging="357"/>
        </w:pPr>
        <w:rPr>
          <w:rFonts w:hint="default"/>
        </w:rPr>
      </w:lvl>
    </w:lvlOverride>
    <w:lvlOverride w:ilvl="1">
      <w:lvl w:ilvl="1">
        <w:numFmt w:val="decimal"/>
        <w:isLgl/>
        <w:lvlText w:val="%1.%2"/>
        <w:lvlJc w:val="left"/>
        <w:pPr>
          <w:ind w:left="720" w:hanging="720"/>
        </w:pPr>
        <w:rPr>
          <w:rFonts w:hint="default"/>
        </w:rPr>
      </w:lvl>
    </w:lvlOverride>
    <w:lvlOverride w:ilvl="2">
      <w:lvl w:ilvl="2">
        <w:start w:val="1"/>
        <w:numFmt w:val="decimal"/>
        <w:isLgl/>
        <w:lvlText w:val="%1.%2.%3"/>
        <w:lvlJc w:val="left"/>
        <w:pPr>
          <w:ind w:left="714" w:hanging="714"/>
        </w:pPr>
        <w:rPr>
          <w:rFonts w:hint="default"/>
          <w:b w:val="0"/>
          <w:i w:val="0"/>
        </w:rPr>
      </w:lvl>
    </w:lvlOverride>
    <w:lvlOverride w:ilvl="3">
      <w:lvl w:ilvl="3">
        <w:start w:val="1"/>
        <w:numFmt w:val="decimal"/>
        <w:isLgl/>
        <w:lvlText w:val="%1.%2.%3.%4"/>
        <w:lvlJc w:val="left"/>
        <w:pPr>
          <w:ind w:left="357" w:hanging="357"/>
        </w:pPr>
        <w:rPr>
          <w:rFonts w:hint="default"/>
        </w:rPr>
      </w:lvl>
    </w:lvlOverride>
    <w:lvlOverride w:ilvl="4">
      <w:lvl w:ilvl="4">
        <w:start w:val="1"/>
        <w:numFmt w:val="decimal"/>
        <w:isLgl/>
        <w:lvlText w:val="%1.%2.%3.%4.%5"/>
        <w:lvlJc w:val="left"/>
        <w:pPr>
          <w:ind w:left="357" w:hanging="357"/>
        </w:pPr>
        <w:rPr>
          <w:rFonts w:hint="default"/>
        </w:rPr>
      </w:lvl>
    </w:lvlOverride>
    <w:lvlOverride w:ilvl="5">
      <w:lvl w:ilvl="5">
        <w:start w:val="1"/>
        <w:numFmt w:val="decimal"/>
        <w:isLgl/>
        <w:lvlText w:val="%1.%2.%3.%4.%5.%6"/>
        <w:lvlJc w:val="left"/>
        <w:pPr>
          <w:ind w:left="357" w:hanging="357"/>
        </w:pPr>
        <w:rPr>
          <w:rFonts w:hint="default"/>
        </w:rPr>
      </w:lvl>
    </w:lvlOverride>
    <w:lvlOverride w:ilvl="6">
      <w:lvl w:ilvl="6">
        <w:start w:val="1"/>
        <w:numFmt w:val="decimal"/>
        <w:isLgl/>
        <w:lvlText w:val="%1.%2.%3.%4.%5.%6.%7"/>
        <w:lvlJc w:val="left"/>
        <w:pPr>
          <w:ind w:left="357" w:hanging="357"/>
        </w:pPr>
        <w:rPr>
          <w:rFonts w:hint="default"/>
        </w:rPr>
      </w:lvl>
    </w:lvlOverride>
    <w:lvlOverride w:ilvl="7">
      <w:lvl w:ilvl="7">
        <w:start w:val="1"/>
        <w:numFmt w:val="decimal"/>
        <w:isLgl/>
        <w:lvlText w:val="%1.%2.%3.%4.%5.%6.%7.%8"/>
        <w:lvlJc w:val="left"/>
        <w:pPr>
          <w:ind w:left="357" w:hanging="357"/>
        </w:pPr>
        <w:rPr>
          <w:rFonts w:hint="default"/>
        </w:rPr>
      </w:lvl>
    </w:lvlOverride>
    <w:lvlOverride w:ilvl="8">
      <w:lvl w:ilvl="8">
        <w:start w:val="1"/>
        <w:numFmt w:val="decimal"/>
        <w:isLgl/>
        <w:lvlText w:val="%1.%2.%3.%4.%5.%6.%7.%8.%9"/>
        <w:lvlJc w:val="left"/>
        <w:pPr>
          <w:ind w:left="357" w:hanging="357"/>
        </w:pPr>
        <w:rPr>
          <w:rFonts w:hint="default"/>
        </w:rPr>
      </w:lvl>
    </w:lvlOverride>
  </w:num>
  <w:num w:numId="39" w16cid:durableId="1549687180">
    <w:abstractNumId w:val="9"/>
    <w:lvlOverride w:ilvl="0">
      <w:lvl w:ilvl="0">
        <w:start w:val="1"/>
        <w:numFmt w:val="decimal"/>
        <w:lvlText w:val="%1."/>
        <w:lvlJc w:val="left"/>
        <w:pPr>
          <w:ind w:left="357" w:hanging="357"/>
        </w:pPr>
        <w:rPr>
          <w:rFonts w:hint="default"/>
        </w:rPr>
      </w:lvl>
    </w:lvlOverride>
    <w:lvlOverride w:ilvl="1">
      <w:lvl w:ilvl="1">
        <w:numFmt w:val="decimal"/>
        <w:isLgl/>
        <w:lvlText w:val="%1.%2"/>
        <w:lvlJc w:val="left"/>
        <w:pPr>
          <w:ind w:left="720" w:hanging="720"/>
        </w:pPr>
        <w:rPr>
          <w:rFonts w:hint="default"/>
        </w:rPr>
      </w:lvl>
    </w:lvlOverride>
    <w:lvlOverride w:ilvl="2">
      <w:lvl w:ilvl="2">
        <w:start w:val="1"/>
        <w:numFmt w:val="decimal"/>
        <w:isLgl/>
        <w:lvlText w:val="%1.%2.%3"/>
        <w:lvlJc w:val="left"/>
        <w:pPr>
          <w:ind w:left="714" w:hanging="714"/>
        </w:pPr>
        <w:rPr>
          <w:rFonts w:hint="default"/>
          <w:b w:val="0"/>
          <w:i w:val="0"/>
        </w:rPr>
      </w:lvl>
    </w:lvlOverride>
    <w:lvlOverride w:ilvl="3">
      <w:lvl w:ilvl="3">
        <w:start w:val="1"/>
        <w:numFmt w:val="decimal"/>
        <w:isLgl/>
        <w:lvlText w:val="%1.%2.%3.%4"/>
        <w:lvlJc w:val="left"/>
        <w:pPr>
          <w:ind w:left="714" w:hanging="714"/>
        </w:pPr>
        <w:rPr>
          <w:rFonts w:hint="default"/>
        </w:rPr>
      </w:lvl>
    </w:lvlOverride>
    <w:lvlOverride w:ilvl="4">
      <w:lvl w:ilvl="4">
        <w:start w:val="1"/>
        <w:numFmt w:val="decimal"/>
        <w:isLgl/>
        <w:lvlText w:val="%1.%2.%3.%4.%5"/>
        <w:lvlJc w:val="left"/>
        <w:pPr>
          <w:ind w:left="357" w:hanging="357"/>
        </w:pPr>
        <w:rPr>
          <w:rFonts w:hint="default"/>
        </w:rPr>
      </w:lvl>
    </w:lvlOverride>
    <w:lvlOverride w:ilvl="5">
      <w:lvl w:ilvl="5">
        <w:start w:val="1"/>
        <w:numFmt w:val="decimal"/>
        <w:isLgl/>
        <w:lvlText w:val="%1.%2.%3.%4.%5.%6"/>
        <w:lvlJc w:val="left"/>
        <w:pPr>
          <w:ind w:left="357" w:hanging="357"/>
        </w:pPr>
        <w:rPr>
          <w:rFonts w:hint="default"/>
        </w:rPr>
      </w:lvl>
    </w:lvlOverride>
    <w:lvlOverride w:ilvl="6">
      <w:lvl w:ilvl="6">
        <w:start w:val="1"/>
        <w:numFmt w:val="decimal"/>
        <w:isLgl/>
        <w:lvlText w:val="%1.%2.%3.%4.%5.%6.%7"/>
        <w:lvlJc w:val="left"/>
        <w:pPr>
          <w:ind w:left="357" w:hanging="357"/>
        </w:pPr>
        <w:rPr>
          <w:rFonts w:hint="default"/>
        </w:rPr>
      </w:lvl>
    </w:lvlOverride>
    <w:lvlOverride w:ilvl="7">
      <w:lvl w:ilvl="7">
        <w:start w:val="1"/>
        <w:numFmt w:val="decimal"/>
        <w:isLgl/>
        <w:lvlText w:val="%1.%2.%3.%4.%5.%6.%7.%8"/>
        <w:lvlJc w:val="left"/>
        <w:pPr>
          <w:ind w:left="357" w:hanging="357"/>
        </w:pPr>
        <w:rPr>
          <w:rFonts w:hint="default"/>
        </w:rPr>
      </w:lvl>
    </w:lvlOverride>
    <w:lvlOverride w:ilvl="8">
      <w:lvl w:ilvl="8">
        <w:start w:val="1"/>
        <w:numFmt w:val="decimal"/>
        <w:isLgl/>
        <w:lvlText w:val="%1.%2.%3.%4.%5.%6.%7.%8.%9"/>
        <w:lvlJc w:val="left"/>
        <w:pPr>
          <w:ind w:left="357" w:hanging="357"/>
        </w:pPr>
        <w:rPr>
          <w:rFonts w:hint="default"/>
        </w:rPr>
      </w:lvl>
    </w:lvlOverride>
  </w:num>
  <w:num w:numId="40" w16cid:durableId="1004816946">
    <w:abstractNumId w:val="8"/>
  </w:num>
  <w:num w:numId="41" w16cid:durableId="1096366935">
    <w:abstractNumId w:val="8"/>
    <w:lvlOverride w:ilvl="0">
      <w:lvl w:ilvl="0">
        <w:start w:val="8"/>
        <w:numFmt w:val="decimal"/>
        <w:lvlText w:val="%1"/>
        <w:lvlJc w:val="left"/>
        <w:pPr>
          <w:ind w:left="360" w:hanging="360"/>
        </w:pPr>
        <w:rPr>
          <w:rFonts w:hint="default"/>
        </w:rPr>
      </w:lvl>
    </w:lvlOverride>
    <w:lvlOverride w:ilvl="1">
      <w:lvl w:ilvl="1">
        <w:start w:val="2"/>
        <w:numFmt w:val="decimal"/>
        <w:lvlText w:val="%1.%2"/>
        <w:lvlJc w:val="left"/>
        <w:pPr>
          <w:ind w:left="720" w:hanging="720"/>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720" w:hanging="72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080" w:hanging="1080"/>
        </w:pPr>
        <w:rPr>
          <w:rFonts w:hint="default"/>
        </w:rPr>
      </w:lvl>
    </w:lvlOverride>
    <w:lvlOverride w:ilvl="6">
      <w:lvl w:ilvl="6">
        <w:start w:val="1"/>
        <w:numFmt w:val="decimal"/>
        <w:lvlText w:val="%1.%2.%3.%4.%5.%6.%7"/>
        <w:lvlJc w:val="left"/>
        <w:pPr>
          <w:ind w:left="1440" w:hanging="1440"/>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800" w:hanging="1800"/>
        </w:pPr>
        <w:rPr>
          <w:rFonts w:hint="default"/>
        </w:rPr>
      </w:lvl>
    </w:lvlOverride>
  </w:num>
  <w:num w:numId="42" w16cid:durableId="692342885">
    <w:abstractNumId w:val="30"/>
  </w:num>
  <w:num w:numId="43" w16cid:durableId="1101954412">
    <w:abstractNumId w:val="43"/>
  </w:num>
  <w:num w:numId="44" w16cid:durableId="215051970">
    <w:abstractNumId w:val="2"/>
  </w:num>
  <w:num w:numId="45" w16cid:durableId="772476889">
    <w:abstractNumId w:val="17"/>
  </w:num>
  <w:num w:numId="46" w16cid:durableId="1077677667">
    <w:abstractNumId w:val="0"/>
  </w:num>
  <w:num w:numId="47" w16cid:durableId="551699846">
    <w:abstractNumId w:val="7"/>
  </w:num>
  <w:num w:numId="48" w16cid:durableId="329136864">
    <w:abstractNumId w:val="20"/>
  </w:num>
  <w:num w:numId="49" w16cid:durableId="1431854824">
    <w:abstractNumId w:val="34"/>
  </w:num>
  <w:num w:numId="50" w16cid:durableId="1493792696">
    <w:abstractNumId w:val="37"/>
  </w:num>
  <w:num w:numId="51" w16cid:durableId="1364480293">
    <w:abstractNumId w:val="28"/>
  </w:num>
  <w:num w:numId="52" w16cid:durableId="1686789014">
    <w:abstractNumId w:val="19"/>
  </w:num>
  <w:num w:numId="53" w16cid:durableId="1333294259">
    <w:abstractNumId w:val="27"/>
  </w:num>
  <w:num w:numId="54" w16cid:durableId="1955550287">
    <w:abstractNumId w:val="5"/>
  </w:num>
  <w:num w:numId="55" w16cid:durableId="482429512">
    <w:abstractNumId w:val="36"/>
  </w:num>
  <w:num w:numId="56" w16cid:durableId="236595459">
    <w:abstractNumId w:val="1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405A"/>
    <w:rsid w:val="000354CB"/>
    <w:rsid w:val="00044511"/>
    <w:rsid w:val="00051767"/>
    <w:rsid w:val="00053F10"/>
    <w:rsid w:val="00060501"/>
    <w:rsid w:val="00074118"/>
    <w:rsid w:val="00074D01"/>
    <w:rsid w:val="000874C6"/>
    <w:rsid w:val="00087A8B"/>
    <w:rsid w:val="000902C1"/>
    <w:rsid w:val="000A14F3"/>
    <w:rsid w:val="000B79E4"/>
    <w:rsid w:val="000C0F81"/>
    <w:rsid w:val="000C575D"/>
    <w:rsid w:val="000D31AC"/>
    <w:rsid w:val="000E4E96"/>
    <w:rsid w:val="000F417E"/>
    <w:rsid w:val="0010140C"/>
    <w:rsid w:val="0012013F"/>
    <w:rsid w:val="00121E2B"/>
    <w:rsid w:val="001324D5"/>
    <w:rsid w:val="00135E27"/>
    <w:rsid w:val="00145D68"/>
    <w:rsid w:val="00150550"/>
    <w:rsid w:val="00160BD0"/>
    <w:rsid w:val="001616D7"/>
    <w:rsid w:val="00164AEA"/>
    <w:rsid w:val="001666B6"/>
    <w:rsid w:val="00182E3B"/>
    <w:rsid w:val="0018451F"/>
    <w:rsid w:val="001876DF"/>
    <w:rsid w:val="001902DC"/>
    <w:rsid w:val="001A7F1E"/>
    <w:rsid w:val="001B6C49"/>
    <w:rsid w:val="001C2BD3"/>
    <w:rsid w:val="001C345D"/>
    <w:rsid w:val="001E01AA"/>
    <w:rsid w:val="001E760F"/>
    <w:rsid w:val="001F6FE1"/>
    <w:rsid w:val="0020249D"/>
    <w:rsid w:val="00202609"/>
    <w:rsid w:val="00207551"/>
    <w:rsid w:val="0021593C"/>
    <w:rsid w:val="002169AB"/>
    <w:rsid w:val="002254A1"/>
    <w:rsid w:val="00226599"/>
    <w:rsid w:val="00240B88"/>
    <w:rsid w:val="00241205"/>
    <w:rsid w:val="0024125D"/>
    <w:rsid w:val="00243C9B"/>
    <w:rsid w:val="00245445"/>
    <w:rsid w:val="002531AA"/>
    <w:rsid w:val="00256817"/>
    <w:rsid w:val="00257075"/>
    <w:rsid w:val="002827D8"/>
    <w:rsid w:val="002975BF"/>
    <w:rsid w:val="00297CE4"/>
    <w:rsid w:val="002A0E8E"/>
    <w:rsid w:val="002A21A9"/>
    <w:rsid w:val="002A3E20"/>
    <w:rsid w:val="002A4BFF"/>
    <w:rsid w:val="002A7717"/>
    <w:rsid w:val="002D7F52"/>
    <w:rsid w:val="002E5645"/>
    <w:rsid w:val="002F405A"/>
    <w:rsid w:val="002F6F93"/>
    <w:rsid w:val="003317CF"/>
    <w:rsid w:val="00333899"/>
    <w:rsid w:val="00344E2B"/>
    <w:rsid w:val="0034755C"/>
    <w:rsid w:val="00355018"/>
    <w:rsid w:val="003620BD"/>
    <w:rsid w:val="00373ED7"/>
    <w:rsid w:val="00375D77"/>
    <w:rsid w:val="003A4457"/>
    <w:rsid w:val="003E39B6"/>
    <w:rsid w:val="003F3AD7"/>
    <w:rsid w:val="00404101"/>
    <w:rsid w:val="0040488B"/>
    <w:rsid w:val="00406E87"/>
    <w:rsid w:val="004153A8"/>
    <w:rsid w:val="004178F8"/>
    <w:rsid w:val="004346EB"/>
    <w:rsid w:val="00447B56"/>
    <w:rsid w:val="004533F4"/>
    <w:rsid w:val="0047494C"/>
    <w:rsid w:val="00476055"/>
    <w:rsid w:val="00484BC9"/>
    <w:rsid w:val="004856BE"/>
    <w:rsid w:val="0049040F"/>
    <w:rsid w:val="00493AFA"/>
    <w:rsid w:val="004B229E"/>
    <w:rsid w:val="004C15AA"/>
    <w:rsid w:val="004C600B"/>
    <w:rsid w:val="004D2CA3"/>
    <w:rsid w:val="004D3106"/>
    <w:rsid w:val="004E1CE3"/>
    <w:rsid w:val="004F7FD8"/>
    <w:rsid w:val="005065AA"/>
    <w:rsid w:val="00506DB9"/>
    <w:rsid w:val="005124E1"/>
    <w:rsid w:val="00516B3C"/>
    <w:rsid w:val="00521BA0"/>
    <w:rsid w:val="00526B5C"/>
    <w:rsid w:val="00533849"/>
    <w:rsid w:val="00535EBE"/>
    <w:rsid w:val="00540C64"/>
    <w:rsid w:val="00543490"/>
    <w:rsid w:val="0054413D"/>
    <w:rsid w:val="00554206"/>
    <w:rsid w:val="00576532"/>
    <w:rsid w:val="00594FD8"/>
    <w:rsid w:val="00596B07"/>
    <w:rsid w:val="005A1B8C"/>
    <w:rsid w:val="005A5058"/>
    <w:rsid w:val="005B7F57"/>
    <w:rsid w:val="005C2DBC"/>
    <w:rsid w:val="005E4C31"/>
    <w:rsid w:val="005E5A43"/>
    <w:rsid w:val="005E6E22"/>
    <w:rsid w:val="005F1F48"/>
    <w:rsid w:val="005F624E"/>
    <w:rsid w:val="00604B60"/>
    <w:rsid w:val="006122C0"/>
    <w:rsid w:val="00616E39"/>
    <w:rsid w:val="0062147E"/>
    <w:rsid w:val="00622938"/>
    <w:rsid w:val="00622992"/>
    <w:rsid w:val="00623870"/>
    <w:rsid w:val="0063154C"/>
    <w:rsid w:val="00631D7E"/>
    <w:rsid w:val="00632A49"/>
    <w:rsid w:val="006374E5"/>
    <w:rsid w:val="00640789"/>
    <w:rsid w:val="00647BA2"/>
    <w:rsid w:val="00654A19"/>
    <w:rsid w:val="006567F9"/>
    <w:rsid w:val="0066395F"/>
    <w:rsid w:val="00665AA2"/>
    <w:rsid w:val="00677C67"/>
    <w:rsid w:val="006926AB"/>
    <w:rsid w:val="006A792C"/>
    <w:rsid w:val="006B1414"/>
    <w:rsid w:val="006B2593"/>
    <w:rsid w:val="006C162D"/>
    <w:rsid w:val="006C1EEF"/>
    <w:rsid w:val="006C3C0D"/>
    <w:rsid w:val="006D765D"/>
    <w:rsid w:val="006E25AC"/>
    <w:rsid w:val="006F1BE0"/>
    <w:rsid w:val="00700A87"/>
    <w:rsid w:val="007117D1"/>
    <w:rsid w:val="00720F11"/>
    <w:rsid w:val="0073341A"/>
    <w:rsid w:val="00734C54"/>
    <w:rsid w:val="007402EF"/>
    <w:rsid w:val="0074364D"/>
    <w:rsid w:val="007449E5"/>
    <w:rsid w:val="00747AF3"/>
    <w:rsid w:val="00752231"/>
    <w:rsid w:val="00753887"/>
    <w:rsid w:val="00754431"/>
    <w:rsid w:val="007632B8"/>
    <w:rsid w:val="0077149E"/>
    <w:rsid w:val="00784F46"/>
    <w:rsid w:val="007A5701"/>
    <w:rsid w:val="007C66F4"/>
    <w:rsid w:val="007D044B"/>
    <w:rsid w:val="007D20BA"/>
    <w:rsid w:val="007D52B8"/>
    <w:rsid w:val="007E1A23"/>
    <w:rsid w:val="007E4669"/>
    <w:rsid w:val="007F3C09"/>
    <w:rsid w:val="007F5936"/>
    <w:rsid w:val="00801FC4"/>
    <w:rsid w:val="00806A0D"/>
    <w:rsid w:val="00815D6B"/>
    <w:rsid w:val="00834FCA"/>
    <w:rsid w:val="0084127D"/>
    <w:rsid w:val="008502DA"/>
    <w:rsid w:val="00865EFD"/>
    <w:rsid w:val="00871086"/>
    <w:rsid w:val="0088012A"/>
    <w:rsid w:val="00887F17"/>
    <w:rsid w:val="008C60F6"/>
    <w:rsid w:val="008D20E8"/>
    <w:rsid w:val="008E5DDA"/>
    <w:rsid w:val="008F2201"/>
    <w:rsid w:val="009017E8"/>
    <w:rsid w:val="009139E6"/>
    <w:rsid w:val="00915065"/>
    <w:rsid w:val="00942632"/>
    <w:rsid w:val="00946AA6"/>
    <w:rsid w:val="00951CF9"/>
    <w:rsid w:val="00972484"/>
    <w:rsid w:val="00972B26"/>
    <w:rsid w:val="00985CB1"/>
    <w:rsid w:val="00993416"/>
    <w:rsid w:val="009B3CF1"/>
    <w:rsid w:val="009B6B63"/>
    <w:rsid w:val="009D2333"/>
    <w:rsid w:val="009F3852"/>
    <w:rsid w:val="00A0347B"/>
    <w:rsid w:val="00A03B85"/>
    <w:rsid w:val="00A048DF"/>
    <w:rsid w:val="00A060A9"/>
    <w:rsid w:val="00A13D3F"/>
    <w:rsid w:val="00A17CE9"/>
    <w:rsid w:val="00A25A2C"/>
    <w:rsid w:val="00A25B02"/>
    <w:rsid w:val="00A25BC2"/>
    <w:rsid w:val="00A44EA5"/>
    <w:rsid w:val="00A6048F"/>
    <w:rsid w:val="00A60C41"/>
    <w:rsid w:val="00A610EC"/>
    <w:rsid w:val="00A66E2D"/>
    <w:rsid w:val="00A71AF8"/>
    <w:rsid w:val="00A73AE9"/>
    <w:rsid w:val="00A7633F"/>
    <w:rsid w:val="00A9466F"/>
    <w:rsid w:val="00A9662B"/>
    <w:rsid w:val="00AA11C4"/>
    <w:rsid w:val="00AA6370"/>
    <w:rsid w:val="00AD0C8D"/>
    <w:rsid w:val="00AE001F"/>
    <w:rsid w:val="00AE65E9"/>
    <w:rsid w:val="00AF6BCE"/>
    <w:rsid w:val="00B0276B"/>
    <w:rsid w:val="00B33EDE"/>
    <w:rsid w:val="00B3465A"/>
    <w:rsid w:val="00B41FAC"/>
    <w:rsid w:val="00B43A2A"/>
    <w:rsid w:val="00B47429"/>
    <w:rsid w:val="00B50669"/>
    <w:rsid w:val="00B5317D"/>
    <w:rsid w:val="00B561EB"/>
    <w:rsid w:val="00B678FC"/>
    <w:rsid w:val="00B8783E"/>
    <w:rsid w:val="00B902C4"/>
    <w:rsid w:val="00B90AED"/>
    <w:rsid w:val="00BA1281"/>
    <w:rsid w:val="00BA6403"/>
    <w:rsid w:val="00BA69AE"/>
    <w:rsid w:val="00BB19E3"/>
    <w:rsid w:val="00BC385F"/>
    <w:rsid w:val="00BC6E16"/>
    <w:rsid w:val="00BD08AE"/>
    <w:rsid w:val="00BE02A0"/>
    <w:rsid w:val="00BF2A67"/>
    <w:rsid w:val="00BF498E"/>
    <w:rsid w:val="00BF505C"/>
    <w:rsid w:val="00BF79BA"/>
    <w:rsid w:val="00C02938"/>
    <w:rsid w:val="00C03327"/>
    <w:rsid w:val="00C27D4E"/>
    <w:rsid w:val="00C34B63"/>
    <w:rsid w:val="00C61404"/>
    <w:rsid w:val="00C63B99"/>
    <w:rsid w:val="00C67DB9"/>
    <w:rsid w:val="00C76B43"/>
    <w:rsid w:val="00C81178"/>
    <w:rsid w:val="00C860DB"/>
    <w:rsid w:val="00C9170F"/>
    <w:rsid w:val="00C95C74"/>
    <w:rsid w:val="00C9696F"/>
    <w:rsid w:val="00CA711C"/>
    <w:rsid w:val="00CB015F"/>
    <w:rsid w:val="00CB39C0"/>
    <w:rsid w:val="00CB588B"/>
    <w:rsid w:val="00CC1275"/>
    <w:rsid w:val="00CC30DA"/>
    <w:rsid w:val="00CC423E"/>
    <w:rsid w:val="00CC5E5E"/>
    <w:rsid w:val="00CD5092"/>
    <w:rsid w:val="00CE1CE2"/>
    <w:rsid w:val="00D005EB"/>
    <w:rsid w:val="00D014BB"/>
    <w:rsid w:val="00D0465C"/>
    <w:rsid w:val="00D20295"/>
    <w:rsid w:val="00D30AC4"/>
    <w:rsid w:val="00D362E3"/>
    <w:rsid w:val="00D477C3"/>
    <w:rsid w:val="00D47ED4"/>
    <w:rsid w:val="00D520DC"/>
    <w:rsid w:val="00D703B3"/>
    <w:rsid w:val="00D71895"/>
    <w:rsid w:val="00D80E43"/>
    <w:rsid w:val="00D91990"/>
    <w:rsid w:val="00D97C2E"/>
    <w:rsid w:val="00DA4EC2"/>
    <w:rsid w:val="00DA5A06"/>
    <w:rsid w:val="00DA607A"/>
    <w:rsid w:val="00DC03FF"/>
    <w:rsid w:val="00DC6028"/>
    <w:rsid w:val="00DD0C0B"/>
    <w:rsid w:val="00DF2E89"/>
    <w:rsid w:val="00E04ADA"/>
    <w:rsid w:val="00E0573D"/>
    <w:rsid w:val="00E121F8"/>
    <w:rsid w:val="00E234F9"/>
    <w:rsid w:val="00E34179"/>
    <w:rsid w:val="00E36BB4"/>
    <w:rsid w:val="00E4736C"/>
    <w:rsid w:val="00E624C3"/>
    <w:rsid w:val="00E6274D"/>
    <w:rsid w:val="00E62D33"/>
    <w:rsid w:val="00E705EE"/>
    <w:rsid w:val="00E70612"/>
    <w:rsid w:val="00E71ABA"/>
    <w:rsid w:val="00E72747"/>
    <w:rsid w:val="00E92468"/>
    <w:rsid w:val="00E9680B"/>
    <w:rsid w:val="00EB26CF"/>
    <w:rsid w:val="00EB4C79"/>
    <w:rsid w:val="00EB5106"/>
    <w:rsid w:val="00EC281D"/>
    <w:rsid w:val="00ED1B8D"/>
    <w:rsid w:val="00EE023C"/>
    <w:rsid w:val="00EE3721"/>
    <w:rsid w:val="00EE67BF"/>
    <w:rsid w:val="00F02B2B"/>
    <w:rsid w:val="00F24133"/>
    <w:rsid w:val="00F31076"/>
    <w:rsid w:val="00F4486D"/>
    <w:rsid w:val="00F51716"/>
    <w:rsid w:val="00F57F5F"/>
    <w:rsid w:val="00F85C1F"/>
    <w:rsid w:val="00F93D54"/>
    <w:rsid w:val="00FA37BF"/>
    <w:rsid w:val="00FB56B2"/>
    <w:rsid w:val="00FC6356"/>
    <w:rsid w:val="00FD2882"/>
    <w:rsid w:val="00FD695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BB3C76"/>
  <w15:docId w15:val="{433390C3-9435-4411-A52C-A2AC994702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6A0D"/>
    <w:pPr>
      <w:spacing w:before="220" w:after="220" w:line="240" w:lineRule="auto"/>
      <w:ind w:left="360"/>
      <w:jc w:val="both"/>
    </w:pPr>
    <w:rPr>
      <w:rFonts w:ascii="Arial" w:hAnsi="Arial"/>
      <w:color w:val="000000" w:themeColor="text1"/>
      <w:lang w:eastAsia="ja-JP"/>
    </w:rPr>
  </w:style>
  <w:style w:type="paragraph" w:styleId="Heading1">
    <w:name w:val="heading 1"/>
    <w:basedOn w:val="Normal"/>
    <w:next w:val="Normal"/>
    <w:link w:val="Heading1Char"/>
    <w:uiPriority w:val="9"/>
    <w:qFormat/>
    <w:rsid w:val="00FA37BF"/>
    <w:pPr>
      <w:keepNext/>
      <w:keepLines/>
      <w:outlineLvl w:val="0"/>
    </w:pPr>
    <w:rPr>
      <w:rFonts w:eastAsiaTheme="majorEastAsia" w:cstheme="majorBidi"/>
      <w:b/>
      <w:bCs/>
      <w:sz w:val="28"/>
      <w:szCs w:val="28"/>
    </w:rPr>
  </w:style>
  <w:style w:type="paragraph" w:styleId="Heading2">
    <w:name w:val="heading 2"/>
    <w:basedOn w:val="Normal"/>
    <w:next w:val="Normal"/>
    <w:link w:val="Heading2Char"/>
    <w:unhideWhenUsed/>
    <w:qFormat/>
    <w:rsid w:val="00806A0D"/>
    <w:pPr>
      <w:keepNext/>
      <w:keepLines/>
      <w:spacing w:before="200" w:after="0"/>
      <w:outlineLvl w:val="1"/>
    </w:pPr>
    <w:rPr>
      <w:rFonts w:eastAsiaTheme="majorEastAsia" w:cstheme="majorBidi"/>
      <w:b/>
      <w:bCs/>
      <w:szCs w:val="26"/>
    </w:rPr>
  </w:style>
  <w:style w:type="paragraph" w:styleId="Heading3">
    <w:name w:val="heading 3"/>
    <w:basedOn w:val="Normal"/>
    <w:next w:val="Normal"/>
    <w:link w:val="Heading3Char"/>
    <w:unhideWhenUsed/>
    <w:qFormat/>
    <w:rsid w:val="00806A0D"/>
    <w:pPr>
      <w:keepNext/>
      <w:keepLines/>
      <w:spacing w:before="200" w:after="0"/>
      <w:outlineLvl w:val="2"/>
    </w:pPr>
    <w:rPr>
      <w:rFonts w:eastAsiaTheme="majorEastAsia" w:cstheme="majorBidi"/>
      <w:bCs/>
      <w:color w:val="auto"/>
    </w:rPr>
  </w:style>
  <w:style w:type="paragraph" w:styleId="Heading4">
    <w:name w:val="heading 4"/>
    <w:basedOn w:val="Normal"/>
    <w:next w:val="Normal"/>
    <w:link w:val="Heading4Char"/>
    <w:uiPriority w:val="9"/>
    <w:semiHidden/>
    <w:unhideWhenUsed/>
    <w:qFormat/>
    <w:rsid w:val="00B41FAC"/>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9">
    <w:name w:val="heading 9"/>
    <w:basedOn w:val="Normal"/>
    <w:next w:val="Normal"/>
    <w:link w:val="Heading9Char"/>
    <w:uiPriority w:val="9"/>
    <w:semiHidden/>
    <w:unhideWhenUsed/>
    <w:qFormat/>
    <w:rsid w:val="00A71AF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405A"/>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405A"/>
    <w:rPr>
      <w:rFonts w:ascii="Tahoma" w:hAnsi="Tahoma" w:cs="Tahoma"/>
      <w:sz w:val="16"/>
      <w:szCs w:val="16"/>
    </w:rPr>
  </w:style>
  <w:style w:type="paragraph" w:styleId="Header">
    <w:name w:val="header"/>
    <w:basedOn w:val="Normal"/>
    <w:link w:val="HeaderChar"/>
    <w:uiPriority w:val="99"/>
    <w:unhideWhenUsed/>
    <w:rsid w:val="00FA37BF"/>
    <w:pPr>
      <w:tabs>
        <w:tab w:val="center" w:pos="4513"/>
        <w:tab w:val="right" w:pos="9026"/>
      </w:tabs>
      <w:spacing w:before="0" w:after="0"/>
    </w:pPr>
  </w:style>
  <w:style w:type="character" w:customStyle="1" w:styleId="HeaderChar">
    <w:name w:val="Header Char"/>
    <w:basedOn w:val="DefaultParagraphFont"/>
    <w:link w:val="Header"/>
    <w:uiPriority w:val="99"/>
    <w:rsid w:val="00FA37BF"/>
    <w:rPr>
      <w:rFonts w:ascii="Arial" w:hAnsi="Arial"/>
      <w:color w:val="000000" w:themeColor="text1"/>
    </w:rPr>
  </w:style>
  <w:style w:type="paragraph" w:styleId="Footer">
    <w:name w:val="footer"/>
    <w:basedOn w:val="Normal"/>
    <w:link w:val="FooterChar"/>
    <w:uiPriority w:val="99"/>
    <w:unhideWhenUsed/>
    <w:rsid w:val="00FA37BF"/>
    <w:pPr>
      <w:tabs>
        <w:tab w:val="center" w:pos="4513"/>
        <w:tab w:val="right" w:pos="9026"/>
      </w:tabs>
      <w:spacing w:before="0" w:after="0"/>
    </w:pPr>
  </w:style>
  <w:style w:type="character" w:customStyle="1" w:styleId="FooterChar">
    <w:name w:val="Footer Char"/>
    <w:basedOn w:val="DefaultParagraphFont"/>
    <w:link w:val="Footer"/>
    <w:uiPriority w:val="99"/>
    <w:rsid w:val="00FA37BF"/>
    <w:rPr>
      <w:rFonts w:ascii="Arial" w:hAnsi="Arial"/>
      <w:color w:val="000000" w:themeColor="text1"/>
    </w:rPr>
  </w:style>
  <w:style w:type="character" w:styleId="PageNumber">
    <w:name w:val="page number"/>
    <w:basedOn w:val="DefaultParagraphFont"/>
    <w:rsid w:val="00FA37BF"/>
  </w:style>
  <w:style w:type="character" w:customStyle="1" w:styleId="Heading1Char">
    <w:name w:val="Heading 1 Char"/>
    <w:basedOn w:val="DefaultParagraphFont"/>
    <w:link w:val="Heading1"/>
    <w:uiPriority w:val="9"/>
    <w:rsid w:val="00FA37BF"/>
    <w:rPr>
      <w:rFonts w:ascii="Arial" w:eastAsiaTheme="majorEastAsia" w:hAnsi="Arial" w:cstheme="majorBidi"/>
      <w:b/>
      <w:bCs/>
      <w:color w:val="000000" w:themeColor="text1"/>
      <w:sz w:val="28"/>
      <w:szCs w:val="28"/>
    </w:rPr>
  </w:style>
  <w:style w:type="table" w:styleId="TableGrid">
    <w:name w:val="Table Grid"/>
    <w:basedOn w:val="TableNormal"/>
    <w:uiPriority w:val="39"/>
    <w:rsid w:val="0074364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rsid w:val="0074364D"/>
    <w:rPr>
      <w:rFonts w:cs="Arial"/>
      <w:b/>
      <w:bCs/>
      <w:szCs w:val="22"/>
    </w:rPr>
  </w:style>
  <w:style w:type="character" w:customStyle="1" w:styleId="Heading2Char">
    <w:name w:val="Heading 2 Char"/>
    <w:basedOn w:val="DefaultParagraphFont"/>
    <w:link w:val="Heading2"/>
    <w:rsid w:val="00806A0D"/>
    <w:rPr>
      <w:rFonts w:ascii="Arial" w:eastAsiaTheme="majorEastAsia" w:hAnsi="Arial" w:cstheme="majorBidi"/>
      <w:b/>
      <w:bCs/>
      <w:color w:val="000000" w:themeColor="text1"/>
      <w:szCs w:val="26"/>
    </w:rPr>
  </w:style>
  <w:style w:type="character" w:customStyle="1" w:styleId="Heading3Char">
    <w:name w:val="Heading 3 Char"/>
    <w:basedOn w:val="DefaultParagraphFont"/>
    <w:link w:val="Heading3"/>
    <w:uiPriority w:val="9"/>
    <w:rsid w:val="00806A0D"/>
    <w:rPr>
      <w:rFonts w:ascii="Arial" w:eastAsiaTheme="majorEastAsia" w:hAnsi="Arial" w:cstheme="majorBidi"/>
      <w:bCs/>
    </w:rPr>
  </w:style>
  <w:style w:type="paragraph" w:styleId="ListParagraph">
    <w:name w:val="List Paragraph"/>
    <w:basedOn w:val="Normal"/>
    <w:qFormat/>
    <w:rsid w:val="00806A0D"/>
    <w:pPr>
      <w:ind w:left="720"/>
      <w:contextualSpacing/>
    </w:pPr>
  </w:style>
  <w:style w:type="character" w:customStyle="1" w:styleId="A3">
    <w:name w:val="A3"/>
    <w:uiPriority w:val="99"/>
    <w:rsid w:val="00164AEA"/>
    <w:rPr>
      <w:rFonts w:cs="Helvetica LT Std"/>
      <w:color w:val="000000"/>
      <w:sz w:val="23"/>
      <w:szCs w:val="23"/>
    </w:rPr>
  </w:style>
  <w:style w:type="paragraph" w:customStyle="1" w:styleId="Level2">
    <w:name w:val="Level 2"/>
    <w:basedOn w:val="Normal"/>
    <w:qFormat/>
    <w:rsid w:val="001902DC"/>
    <w:pPr>
      <w:tabs>
        <w:tab w:val="left" w:pos="284"/>
        <w:tab w:val="left" w:pos="709"/>
      </w:tabs>
      <w:ind w:left="1701" w:hanging="425"/>
      <w:jc w:val="left"/>
    </w:pPr>
    <w:rPr>
      <w:rFonts w:eastAsia="Calibri" w:cs="Arial"/>
      <w:lang w:eastAsia="en-US"/>
    </w:rPr>
  </w:style>
  <w:style w:type="paragraph" w:customStyle="1" w:styleId="Heading3a">
    <w:name w:val="Heading 3a"/>
    <w:basedOn w:val="Heading3"/>
    <w:next w:val="Normal"/>
    <w:qFormat/>
    <w:rsid w:val="00D80E43"/>
    <w:pPr>
      <w:keepLines w:val="0"/>
      <w:tabs>
        <w:tab w:val="left" w:pos="567"/>
      </w:tabs>
      <w:spacing w:before="220" w:after="120"/>
      <w:ind w:left="1355" w:hanging="504"/>
    </w:pPr>
    <w:rPr>
      <w:rFonts w:eastAsia="Calibri" w:cs="Helvetica LT Std"/>
      <w:b/>
      <w:bCs w:val="0"/>
      <w:color w:val="000000" w:themeColor="text1"/>
      <w:szCs w:val="23"/>
    </w:rPr>
  </w:style>
  <w:style w:type="paragraph" w:customStyle="1" w:styleId="NormalIndent">
    <w:name w:val="Normal (Indent)"/>
    <w:basedOn w:val="Normal"/>
    <w:uiPriority w:val="99"/>
    <w:rsid w:val="00C9696F"/>
    <w:pPr>
      <w:tabs>
        <w:tab w:val="left" w:pos="567"/>
      </w:tabs>
      <w:ind w:left="0"/>
    </w:pPr>
    <w:rPr>
      <w:rFonts w:eastAsia="MS Mincho" w:cs="Arial"/>
      <w:color w:val="000000"/>
    </w:rPr>
  </w:style>
  <w:style w:type="paragraph" w:styleId="BodyTextIndent">
    <w:name w:val="Body Text Indent"/>
    <w:basedOn w:val="Normal"/>
    <w:link w:val="BodyTextIndentChar"/>
    <w:rsid w:val="00C9696F"/>
    <w:pPr>
      <w:ind w:left="720"/>
    </w:pPr>
    <w:rPr>
      <w:rFonts w:eastAsia="MS Mincho" w:cs="Arial"/>
      <w:color w:val="000000"/>
    </w:rPr>
  </w:style>
  <w:style w:type="character" w:customStyle="1" w:styleId="BodyTextIndentChar">
    <w:name w:val="Body Text Indent Char"/>
    <w:basedOn w:val="DefaultParagraphFont"/>
    <w:link w:val="BodyTextIndent"/>
    <w:rsid w:val="00C9696F"/>
    <w:rPr>
      <w:rFonts w:ascii="Arial" w:eastAsia="MS Mincho" w:hAnsi="Arial" w:cs="Arial"/>
      <w:color w:val="000000"/>
      <w:lang w:eastAsia="ja-JP"/>
    </w:rPr>
  </w:style>
  <w:style w:type="character" w:customStyle="1" w:styleId="Heading9Char">
    <w:name w:val="Heading 9 Char"/>
    <w:basedOn w:val="DefaultParagraphFont"/>
    <w:link w:val="Heading9"/>
    <w:uiPriority w:val="9"/>
    <w:semiHidden/>
    <w:rsid w:val="00A71AF8"/>
    <w:rPr>
      <w:rFonts w:asciiTheme="majorHAnsi" w:eastAsiaTheme="majorEastAsia" w:hAnsiTheme="majorHAnsi" w:cstheme="majorBidi"/>
      <w:i/>
      <w:iCs/>
      <w:color w:val="404040" w:themeColor="text1" w:themeTint="BF"/>
      <w:sz w:val="20"/>
      <w:szCs w:val="20"/>
      <w:lang w:eastAsia="ja-JP"/>
    </w:rPr>
  </w:style>
  <w:style w:type="table" w:customStyle="1" w:styleId="TableGrid1">
    <w:name w:val="Table Grid1"/>
    <w:basedOn w:val="TableNormal"/>
    <w:next w:val="TableGrid"/>
    <w:uiPriority w:val="39"/>
    <w:rsid w:val="00A71AF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516B3C"/>
    <w:pPr>
      <w:tabs>
        <w:tab w:val="right" w:leader="dot" w:pos="9016"/>
      </w:tabs>
      <w:spacing w:after="100"/>
      <w:ind w:left="0"/>
    </w:pPr>
    <w:rPr>
      <w:rFonts w:eastAsia="Times New Roman" w:cs="Times New Roman"/>
      <w:bCs/>
      <w:noProof/>
      <w:snapToGrid w:val="0"/>
      <w:color w:val="000000"/>
      <w:lang w:eastAsia="en-GB"/>
    </w:rPr>
  </w:style>
  <w:style w:type="paragraph" w:styleId="TOC2">
    <w:name w:val="toc 2"/>
    <w:basedOn w:val="Normal"/>
    <w:next w:val="Normal"/>
    <w:autoRedefine/>
    <w:uiPriority w:val="39"/>
    <w:unhideWhenUsed/>
    <w:rsid w:val="007632B8"/>
    <w:pPr>
      <w:tabs>
        <w:tab w:val="left" w:pos="567"/>
        <w:tab w:val="right" w:leader="dot" w:pos="9016"/>
      </w:tabs>
      <w:spacing w:after="100"/>
      <w:ind w:left="0"/>
    </w:pPr>
    <w:rPr>
      <w:noProof/>
      <w:sz w:val="20"/>
      <w:szCs w:val="20"/>
    </w:rPr>
  </w:style>
  <w:style w:type="paragraph" w:styleId="CommentText">
    <w:name w:val="annotation text"/>
    <w:basedOn w:val="Normal"/>
    <w:link w:val="CommentTextChar"/>
    <w:uiPriority w:val="99"/>
    <w:semiHidden/>
    <w:unhideWhenUsed/>
    <w:rsid w:val="00BF505C"/>
    <w:rPr>
      <w:sz w:val="20"/>
      <w:szCs w:val="20"/>
    </w:rPr>
  </w:style>
  <w:style w:type="character" w:customStyle="1" w:styleId="CommentTextChar">
    <w:name w:val="Comment Text Char"/>
    <w:basedOn w:val="DefaultParagraphFont"/>
    <w:link w:val="CommentText"/>
    <w:uiPriority w:val="99"/>
    <w:semiHidden/>
    <w:rsid w:val="00BF505C"/>
    <w:rPr>
      <w:rFonts w:ascii="Arial" w:hAnsi="Arial"/>
      <w:color w:val="000000" w:themeColor="text1"/>
      <w:sz w:val="20"/>
      <w:szCs w:val="20"/>
      <w:lang w:eastAsia="ja-JP"/>
    </w:rPr>
  </w:style>
  <w:style w:type="paragraph" w:styleId="CommentSubject">
    <w:name w:val="annotation subject"/>
    <w:basedOn w:val="CommentText"/>
    <w:next w:val="CommentText"/>
    <w:link w:val="CommentSubjectChar"/>
    <w:semiHidden/>
    <w:rsid w:val="00BF505C"/>
    <w:pPr>
      <w:tabs>
        <w:tab w:val="left" w:pos="284"/>
      </w:tabs>
      <w:ind w:left="284"/>
    </w:pPr>
    <w:rPr>
      <w:rFonts w:eastAsia="Times New Roman" w:cs="Times New Roman"/>
      <w:b/>
      <w:bCs/>
      <w:sz w:val="22"/>
      <w:szCs w:val="24"/>
      <w:lang w:eastAsia="en-GB"/>
    </w:rPr>
  </w:style>
  <w:style w:type="character" w:customStyle="1" w:styleId="CommentSubjectChar">
    <w:name w:val="Comment Subject Char"/>
    <w:basedOn w:val="CommentTextChar"/>
    <w:link w:val="CommentSubject"/>
    <w:semiHidden/>
    <w:rsid w:val="00BF505C"/>
    <w:rPr>
      <w:rFonts w:ascii="Arial" w:eastAsia="Times New Roman" w:hAnsi="Arial" w:cs="Times New Roman"/>
      <w:b/>
      <w:bCs/>
      <w:color w:val="000000" w:themeColor="text1"/>
      <w:sz w:val="20"/>
      <w:szCs w:val="24"/>
      <w:lang w:eastAsia="en-GB"/>
    </w:rPr>
  </w:style>
  <w:style w:type="character" w:styleId="Hyperlink">
    <w:name w:val="Hyperlink"/>
    <w:basedOn w:val="DefaultParagraphFont"/>
    <w:uiPriority w:val="99"/>
    <w:unhideWhenUsed/>
    <w:rsid w:val="005124E1"/>
    <w:rPr>
      <w:color w:val="0000FF" w:themeColor="hyperlink"/>
      <w:u w:val="single"/>
    </w:rPr>
  </w:style>
  <w:style w:type="table" w:customStyle="1" w:styleId="TableGrid2">
    <w:name w:val="Table Grid2"/>
    <w:basedOn w:val="TableNormal"/>
    <w:uiPriority w:val="59"/>
    <w:rsid w:val="005124E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59"/>
    <w:rsid w:val="005124E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59"/>
    <w:rsid w:val="005124E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rsid w:val="002A3E2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sid w:val="002A3E2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59"/>
    <w:rsid w:val="002A3E2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5E4C31"/>
    <w:rPr>
      <w:sz w:val="16"/>
      <w:szCs w:val="16"/>
    </w:rPr>
  </w:style>
  <w:style w:type="paragraph" w:styleId="Revision">
    <w:name w:val="Revision"/>
    <w:hidden/>
    <w:uiPriority w:val="99"/>
    <w:semiHidden/>
    <w:rsid w:val="001E01AA"/>
    <w:pPr>
      <w:spacing w:after="0" w:line="240" w:lineRule="auto"/>
    </w:pPr>
    <w:rPr>
      <w:rFonts w:ascii="Arial" w:hAnsi="Arial"/>
      <w:color w:val="000000" w:themeColor="text1"/>
      <w:lang w:eastAsia="ja-JP"/>
    </w:rPr>
  </w:style>
  <w:style w:type="character" w:customStyle="1" w:styleId="Heading4Char">
    <w:name w:val="Heading 4 Char"/>
    <w:basedOn w:val="DefaultParagraphFont"/>
    <w:link w:val="Heading4"/>
    <w:uiPriority w:val="9"/>
    <w:semiHidden/>
    <w:rsid w:val="00B41FAC"/>
    <w:rPr>
      <w:rFonts w:asciiTheme="majorHAnsi" w:eastAsiaTheme="majorEastAsia" w:hAnsiTheme="majorHAnsi" w:cstheme="majorBidi"/>
      <w:i/>
      <w:iCs/>
      <w:color w:val="365F91" w:themeColor="accent1" w:themeShade="BF"/>
      <w:lang w:eastAsia="ja-JP"/>
    </w:rPr>
  </w:style>
  <w:style w:type="character" w:styleId="UnresolvedMention">
    <w:name w:val="Unresolved Mention"/>
    <w:basedOn w:val="DefaultParagraphFont"/>
    <w:uiPriority w:val="99"/>
    <w:semiHidden/>
    <w:unhideWhenUsed/>
    <w:rsid w:val="0020260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1231487">
      <w:bodyDiv w:val="1"/>
      <w:marLeft w:val="0"/>
      <w:marRight w:val="0"/>
      <w:marTop w:val="0"/>
      <w:marBottom w:val="0"/>
      <w:divBdr>
        <w:top w:val="none" w:sz="0" w:space="0" w:color="auto"/>
        <w:left w:val="none" w:sz="0" w:space="0" w:color="auto"/>
        <w:bottom w:val="none" w:sz="0" w:space="0" w:color="auto"/>
        <w:right w:val="none" w:sz="0" w:space="0" w:color="auto"/>
      </w:divBdr>
    </w:div>
    <w:div w:id="1403795259">
      <w:bodyDiv w:val="1"/>
      <w:marLeft w:val="0"/>
      <w:marRight w:val="0"/>
      <w:marTop w:val="0"/>
      <w:marBottom w:val="0"/>
      <w:divBdr>
        <w:top w:val="none" w:sz="0" w:space="0" w:color="auto"/>
        <w:left w:val="none" w:sz="0" w:space="0" w:color="auto"/>
        <w:bottom w:val="none" w:sz="0" w:space="0" w:color="auto"/>
        <w:right w:val="none" w:sz="0" w:space="0" w:color="auto"/>
      </w:divBdr>
    </w:div>
    <w:div w:id="1864126456">
      <w:bodyDiv w:val="1"/>
      <w:marLeft w:val="0"/>
      <w:marRight w:val="0"/>
      <w:marTop w:val="0"/>
      <w:marBottom w:val="0"/>
      <w:divBdr>
        <w:top w:val="none" w:sz="0" w:space="0" w:color="auto"/>
        <w:left w:val="none" w:sz="0" w:space="0" w:color="auto"/>
        <w:bottom w:val="none" w:sz="0" w:space="0" w:color="auto"/>
        <w:right w:val="none" w:sz="0" w:space="0" w:color="auto"/>
      </w:divBdr>
    </w:div>
    <w:div w:id="2017532028">
      <w:bodyDiv w:val="1"/>
      <w:marLeft w:val="0"/>
      <w:marRight w:val="0"/>
      <w:marTop w:val="0"/>
      <w:marBottom w:val="0"/>
      <w:divBdr>
        <w:top w:val="none" w:sz="0" w:space="0" w:color="auto"/>
        <w:left w:val="none" w:sz="0" w:space="0" w:color="auto"/>
        <w:bottom w:val="none" w:sz="0" w:space="0" w:color="auto"/>
        <w:right w:val="none" w:sz="0" w:space="0" w:color="auto"/>
      </w:divBdr>
    </w:div>
    <w:div w:id="2062751171">
      <w:bodyDiv w:val="1"/>
      <w:marLeft w:val="0"/>
      <w:marRight w:val="0"/>
      <w:marTop w:val="0"/>
      <w:marBottom w:val="0"/>
      <w:divBdr>
        <w:top w:val="none" w:sz="0" w:space="0" w:color="auto"/>
        <w:left w:val="none" w:sz="0" w:space="0" w:color="auto"/>
        <w:bottom w:val="none" w:sz="0" w:space="0" w:color="auto"/>
        <w:right w:val="none" w:sz="0" w:space="0" w:color="auto"/>
      </w:divBdr>
    </w:div>
    <w:div w:id="2110661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lincs.police.uk" TargetMode="External"/><Relationship Id="rId18" Type="http://schemas.openxmlformats.org/officeDocument/2006/relationships/image" Target="media/image4.png"/><Relationship Id="rId26" Type="http://schemas.openxmlformats.org/officeDocument/2006/relationships/image" Target="media/image12.emf"/><Relationship Id="rId39" Type="http://schemas.openxmlformats.org/officeDocument/2006/relationships/image" Target="media/image25.emf"/><Relationship Id="rId21" Type="http://schemas.openxmlformats.org/officeDocument/2006/relationships/image" Target="media/image7.emf"/><Relationship Id="rId34" Type="http://schemas.openxmlformats.org/officeDocument/2006/relationships/image" Target="media/image20.emf"/><Relationship Id="rId42" Type="http://schemas.openxmlformats.org/officeDocument/2006/relationships/image" Target="media/image28.emf"/><Relationship Id="rId47" Type="http://schemas.openxmlformats.org/officeDocument/2006/relationships/image" Target="media/image32.emf"/><Relationship Id="rId50" Type="http://schemas.openxmlformats.org/officeDocument/2006/relationships/image" Target="media/image35.emf"/><Relationship Id="rId55" Type="http://schemas.openxmlformats.org/officeDocument/2006/relationships/image" Target="media/image40.emf"/><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ons.gov.uk/" TargetMode="External"/><Relationship Id="rId29" Type="http://schemas.openxmlformats.org/officeDocument/2006/relationships/image" Target="media/image15.emf"/><Relationship Id="rId11" Type="http://schemas.openxmlformats.org/officeDocument/2006/relationships/image" Target="media/image1.png"/><Relationship Id="rId24" Type="http://schemas.openxmlformats.org/officeDocument/2006/relationships/image" Target="media/image10.emf"/><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image" Target="media/image26.emf"/><Relationship Id="rId45" Type="http://schemas.openxmlformats.org/officeDocument/2006/relationships/image" Target="media/image30.emf"/><Relationship Id="rId53" Type="http://schemas.openxmlformats.org/officeDocument/2006/relationships/image" Target="media/image38.emf"/><Relationship Id="rId58" Type="http://schemas.openxmlformats.org/officeDocument/2006/relationships/image" Target="media/image43.emf"/><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5.png"/><Relationship Id="rId14" Type="http://schemas.openxmlformats.org/officeDocument/2006/relationships/hyperlink" Target="https://www.lincs.police.uk/police-forces/lincolnshire-police/areas/about-us/about-us/Finances/chief-constables-corporate-governance/" TargetMode="External"/><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image" Target="media/image21.emf"/><Relationship Id="rId43" Type="http://schemas.openxmlformats.org/officeDocument/2006/relationships/footer" Target="footer1.xml"/><Relationship Id="rId48" Type="http://schemas.openxmlformats.org/officeDocument/2006/relationships/image" Target="media/image33.emf"/><Relationship Id="rId56" Type="http://schemas.openxmlformats.org/officeDocument/2006/relationships/image" Target="media/image41.emf"/><Relationship Id="rId8" Type="http://schemas.openxmlformats.org/officeDocument/2006/relationships/webSettings" Target="webSettings.xml"/><Relationship Id="rId51" Type="http://schemas.openxmlformats.org/officeDocument/2006/relationships/image" Target="media/image36.emf"/><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3.png"/><Relationship Id="rId25" Type="http://schemas.openxmlformats.org/officeDocument/2006/relationships/image" Target="media/image11.emf"/><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image" Target="media/image31.emf"/><Relationship Id="rId59" Type="http://schemas.openxmlformats.org/officeDocument/2006/relationships/image" Target="media/image44.emf"/><Relationship Id="rId20" Type="http://schemas.openxmlformats.org/officeDocument/2006/relationships/image" Target="media/image6.png"/><Relationship Id="rId41" Type="http://schemas.openxmlformats.org/officeDocument/2006/relationships/image" Target="media/image27.emf"/><Relationship Id="rId54" Type="http://schemas.openxmlformats.org/officeDocument/2006/relationships/image" Target="media/image39.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lincolnshire-pcc.gov.uk/transparency/public-assurance-meetings/" TargetMode="External"/><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image" Target="media/image22.emf"/><Relationship Id="rId49" Type="http://schemas.openxmlformats.org/officeDocument/2006/relationships/image" Target="media/image34.emf"/><Relationship Id="rId57" Type="http://schemas.openxmlformats.org/officeDocument/2006/relationships/image" Target="media/image42.emf"/><Relationship Id="rId10" Type="http://schemas.openxmlformats.org/officeDocument/2006/relationships/endnotes" Target="endnotes.xml"/><Relationship Id="rId31" Type="http://schemas.openxmlformats.org/officeDocument/2006/relationships/image" Target="media/image17.emf"/><Relationship Id="rId44" Type="http://schemas.openxmlformats.org/officeDocument/2006/relationships/image" Target="media/image29.emf"/><Relationship Id="rId52" Type="http://schemas.openxmlformats.org/officeDocument/2006/relationships/image" Target="media/image37.emf"/><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915CC72E633CF641963E71ABCBD1146F" ma:contentTypeVersion="7" ma:contentTypeDescription="Create a new document." ma:contentTypeScope="" ma:versionID="fee629b72908b6b959b40bf3fc08dd65">
  <xsd:schema xmlns:xsd="http://www.w3.org/2001/XMLSchema" xmlns:xs="http://www.w3.org/2001/XMLSchema" xmlns:p="http://schemas.microsoft.com/office/2006/metadata/properties" xmlns:ns2="a233c8b8-271e-4a33-a121-675513ecf00b" xmlns:ns3="193ae15e-6bed-477d-80b9-b4c0c4db8fe0" targetNamespace="http://schemas.microsoft.com/office/2006/metadata/properties" ma:root="true" ma:fieldsID="4498369c85ade8d2c55c385e5f4fe8ca" ns2:_="" ns3:_="">
    <xsd:import namespace="a233c8b8-271e-4a33-a121-675513ecf00b"/>
    <xsd:import namespace="193ae15e-6bed-477d-80b9-b4c0c4db8fe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233c8b8-271e-4a33-a121-675513ecf00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93ae15e-6bed-477d-80b9-b4c0c4db8fe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B677F4D-8EC7-43BB-931D-B014CE9FF81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6C27849-FCC5-425F-BEAA-3F1681C637B1}">
  <ds:schemaRefs>
    <ds:schemaRef ds:uri="http://schemas.openxmlformats.org/officeDocument/2006/bibliography"/>
  </ds:schemaRefs>
</ds:datastoreItem>
</file>

<file path=customXml/itemProps3.xml><?xml version="1.0" encoding="utf-8"?>
<ds:datastoreItem xmlns:ds="http://schemas.openxmlformats.org/officeDocument/2006/customXml" ds:itemID="{FE4B19FB-1D77-4BC5-9998-E5496CF721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233c8b8-271e-4a33-a121-675513ecf00b"/>
    <ds:schemaRef ds:uri="193ae15e-6bed-477d-80b9-b4c0c4db8fe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2E2105D-3165-483A-93D6-CC409ABA358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81</Pages>
  <Words>22971</Words>
  <Characters>130940</Characters>
  <Application>Microsoft Office Word</Application>
  <DocSecurity>0</DocSecurity>
  <Lines>1091</Lines>
  <Paragraphs>307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Mascall, Jonathan</dc:creator>
  <cp:lastModifiedBy>Jacquest, Michael</cp:lastModifiedBy>
  <cp:revision>18</cp:revision>
  <cp:lastPrinted>2023-10-09T13:18:00Z</cp:lastPrinted>
  <dcterms:created xsi:type="dcterms:W3CDTF">2023-10-06T12:31:00Z</dcterms:created>
  <dcterms:modified xsi:type="dcterms:W3CDTF">2023-10-09T14:43:00Z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d7679a8-b296-4807-8cee-66cc2d806f92_Enabled">
    <vt:lpwstr>true</vt:lpwstr>
  </property>
  <property fmtid="{D5CDD505-2E9C-101B-9397-08002B2CF9AE}" pid="3" name="MSIP_Label_cd7679a8-b296-4807-8cee-66cc2d806f92_SetDate">
    <vt:lpwstr>2021-05-15T09:54:13Z</vt:lpwstr>
  </property>
  <property fmtid="{D5CDD505-2E9C-101B-9397-08002B2CF9AE}" pid="4" name="MSIP_Label_cd7679a8-b296-4807-8cee-66cc2d806f92_Method">
    <vt:lpwstr>Standard</vt:lpwstr>
  </property>
  <property fmtid="{D5CDD505-2E9C-101B-9397-08002B2CF9AE}" pid="5" name="MSIP_Label_cd7679a8-b296-4807-8cee-66cc2d806f92_Name">
    <vt:lpwstr>OFFICIAL</vt:lpwstr>
  </property>
  <property fmtid="{D5CDD505-2E9C-101B-9397-08002B2CF9AE}" pid="6" name="MSIP_Label_cd7679a8-b296-4807-8cee-66cc2d806f92_SiteId">
    <vt:lpwstr>64bdf0f9-219d-4cdc-88ea-2737325b4d26</vt:lpwstr>
  </property>
  <property fmtid="{D5CDD505-2E9C-101B-9397-08002B2CF9AE}" pid="7" name="MSIP_Label_cd7679a8-b296-4807-8cee-66cc2d806f92_ActionId">
    <vt:lpwstr>c372400f-01b0-4770-bd70-af268b13e00c</vt:lpwstr>
  </property>
  <property fmtid="{D5CDD505-2E9C-101B-9397-08002B2CF9AE}" pid="8" name="MSIP_Label_cd7679a8-b296-4807-8cee-66cc2d806f92_ContentBits">
    <vt:lpwstr>0</vt:lpwstr>
  </property>
  <property fmtid="{D5CDD505-2E9C-101B-9397-08002B2CF9AE}" pid="9" name="ContentTypeId">
    <vt:lpwstr>0x010100915CC72E633CF641963E71ABCBD1146F</vt:lpwstr>
  </property>
</Properties>
</file>