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71D6" w14:textId="32C9ABB1" w:rsidR="00E64BB6" w:rsidRDefault="001A020E" w:rsidP="001A020E">
      <w:pPr>
        <w:pStyle w:val="Title"/>
        <w:jc w:val="center"/>
      </w:pPr>
      <w:r>
        <w:t>Lincolnshire Police</w:t>
      </w:r>
      <w:r w:rsidR="00EC1851">
        <w:t xml:space="preserve"> </w:t>
      </w:r>
      <w:r w:rsidR="00EC1851">
        <w:br/>
        <w:t>Policy Document</w:t>
      </w:r>
    </w:p>
    <w:p w14:paraId="357A7E23" w14:textId="1813BC49" w:rsidR="001A020E" w:rsidRDefault="001A020E" w:rsidP="001A020E">
      <w:pPr>
        <w:jc w:val="center"/>
      </w:pPr>
      <w:r>
        <w:rPr>
          <w:noProof/>
        </w:rPr>
        <w:drawing>
          <wp:inline distT="0" distB="0" distL="0" distR="0" wp14:anchorId="0EE7DA38" wp14:editId="02C7F263">
            <wp:extent cx="2409825" cy="2409825"/>
            <wp:effectExtent l="0" t="0" r="0" b="9525"/>
            <wp:docPr id="1" name="Picture 1" descr="Lincolnshire Polic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colnshire Police cre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9825" cy="2409825"/>
                    </a:xfrm>
                    <a:prstGeom prst="rect">
                      <a:avLst/>
                    </a:prstGeom>
                    <a:noFill/>
                    <a:ln>
                      <a:noFill/>
                    </a:ln>
                  </pic:spPr>
                </pic:pic>
              </a:graphicData>
            </a:graphic>
          </wp:inline>
        </w:drawing>
      </w:r>
    </w:p>
    <w:p w14:paraId="482AF218" w14:textId="6CB0B173" w:rsidR="001A020E" w:rsidRDefault="00466275" w:rsidP="007D1FD5">
      <w:pPr>
        <w:pStyle w:val="Heading1"/>
        <w:jc w:val="center"/>
      </w:pPr>
      <w:r>
        <w:t xml:space="preserve">SMART WATER </w:t>
      </w:r>
      <w:r w:rsidR="000054D7">
        <w:t xml:space="preserve">policy PD </w:t>
      </w:r>
      <w:r w:rsidR="009A3CFC">
        <w:t>269</w:t>
      </w:r>
    </w:p>
    <w:p w14:paraId="28280CE9" w14:textId="77777777" w:rsidR="001A020E" w:rsidRDefault="001A020E" w:rsidP="001A020E">
      <w:pPr>
        <w:pStyle w:val="Heading2"/>
      </w:pPr>
      <w:r>
        <w:t>Policy document information</w:t>
      </w:r>
    </w:p>
    <w:p w14:paraId="238400B7" w14:textId="63EF85EB" w:rsidR="001A020E" w:rsidRDefault="001A020E" w:rsidP="001A020E">
      <w:pPr>
        <w:tabs>
          <w:tab w:val="left" w:pos="2835"/>
        </w:tabs>
      </w:pPr>
      <w:r w:rsidRPr="0090198B">
        <w:rPr>
          <w:b/>
          <w:bCs/>
        </w:rPr>
        <w:t>Reference number</w:t>
      </w:r>
      <w:r>
        <w:t>:</w:t>
      </w:r>
      <w:r w:rsidR="0051530F">
        <w:tab/>
      </w:r>
      <w:r w:rsidR="000054D7">
        <w:t xml:space="preserve">PD </w:t>
      </w:r>
      <w:r w:rsidR="006A6183">
        <w:t>269</w:t>
      </w:r>
      <w:r w:rsidR="00FA04A2">
        <w:t xml:space="preserve"> (2)</w:t>
      </w:r>
    </w:p>
    <w:p w14:paraId="1A1C3D8E" w14:textId="13245157" w:rsidR="001A020E" w:rsidRPr="00D36E83" w:rsidRDefault="001A020E" w:rsidP="001A020E">
      <w:pPr>
        <w:tabs>
          <w:tab w:val="left" w:pos="2835"/>
        </w:tabs>
        <w:rPr>
          <w:color w:val="FF0000"/>
        </w:rPr>
      </w:pPr>
      <w:r w:rsidRPr="0090198B">
        <w:rPr>
          <w:b/>
          <w:bCs/>
        </w:rPr>
        <w:t>Policy sponsor</w:t>
      </w:r>
      <w:r>
        <w:t>:</w:t>
      </w:r>
      <w:r w:rsidR="00D36E83">
        <w:rPr>
          <w:color w:val="FF0000"/>
        </w:rPr>
        <w:t xml:space="preserve">                </w:t>
      </w:r>
      <w:r w:rsidR="00466275">
        <w:rPr>
          <w:color w:val="000000" w:themeColor="text1"/>
        </w:rPr>
        <w:t>DCC Julia DEBENHAM</w:t>
      </w:r>
    </w:p>
    <w:p w14:paraId="48723898" w14:textId="24608D4E" w:rsidR="001A020E" w:rsidRDefault="001A020E" w:rsidP="001A020E">
      <w:pPr>
        <w:tabs>
          <w:tab w:val="left" w:pos="2835"/>
        </w:tabs>
      </w:pPr>
      <w:r w:rsidRPr="0090198B">
        <w:rPr>
          <w:b/>
          <w:bCs/>
        </w:rPr>
        <w:t>Policy owner</w:t>
      </w:r>
      <w:r>
        <w:t>:</w:t>
      </w:r>
      <w:r w:rsidR="000054D7">
        <w:tab/>
      </w:r>
      <w:r w:rsidR="00466275">
        <w:t>T/</w:t>
      </w:r>
      <w:r w:rsidR="006A6183">
        <w:rPr>
          <w:rFonts w:cs="Arial"/>
        </w:rPr>
        <w:t>DC Superintendent</w:t>
      </w:r>
      <w:r w:rsidR="000054D7">
        <w:rPr>
          <w:rFonts w:cs="Arial"/>
        </w:rPr>
        <w:t xml:space="preserve"> Liz ROGERS -</w:t>
      </w:r>
      <w:r w:rsidR="000054D7" w:rsidRPr="00052535">
        <w:rPr>
          <w:rFonts w:cs="Arial"/>
        </w:rPr>
        <w:t xml:space="preserve"> </w:t>
      </w:r>
      <w:r w:rsidR="000054D7">
        <w:rPr>
          <w:rFonts w:cs="Arial"/>
        </w:rPr>
        <w:t>Head of PVP</w:t>
      </w:r>
    </w:p>
    <w:p w14:paraId="60F1E80C" w14:textId="6F269FD5" w:rsidR="001A020E" w:rsidRDefault="001A020E" w:rsidP="001A020E">
      <w:pPr>
        <w:tabs>
          <w:tab w:val="left" w:pos="2835"/>
        </w:tabs>
      </w:pPr>
      <w:r w:rsidRPr="0090198B">
        <w:rPr>
          <w:b/>
          <w:bCs/>
        </w:rPr>
        <w:t>Author</w:t>
      </w:r>
      <w:r>
        <w:t>:</w:t>
      </w:r>
      <w:r w:rsidR="000054D7">
        <w:tab/>
      </w:r>
      <w:r w:rsidR="000054D7">
        <w:rPr>
          <w:rFonts w:cs="Arial"/>
        </w:rPr>
        <w:t>DCI Rachael Cox – PVP - PSH</w:t>
      </w:r>
    </w:p>
    <w:p w14:paraId="3B60037B" w14:textId="170BFBB7" w:rsidR="001A020E" w:rsidRDefault="001A020E" w:rsidP="001A020E">
      <w:pPr>
        <w:tabs>
          <w:tab w:val="left" w:pos="2835"/>
        </w:tabs>
      </w:pPr>
      <w:r w:rsidRPr="0090198B">
        <w:rPr>
          <w:b/>
          <w:bCs/>
        </w:rPr>
        <w:t>Publication date</w:t>
      </w:r>
      <w:r>
        <w:t>:</w:t>
      </w:r>
      <w:r w:rsidR="000054D7">
        <w:tab/>
      </w:r>
      <w:r w:rsidR="006A6183">
        <w:t>April</w:t>
      </w:r>
      <w:r w:rsidR="00466275">
        <w:t xml:space="preserve"> </w:t>
      </w:r>
      <w:r w:rsidR="000054D7">
        <w:rPr>
          <w:rFonts w:cs="Arial"/>
        </w:rPr>
        <w:t>202</w:t>
      </w:r>
      <w:r w:rsidR="00466275">
        <w:rPr>
          <w:rFonts w:cs="Arial"/>
        </w:rPr>
        <w:t>4</w:t>
      </w:r>
    </w:p>
    <w:p w14:paraId="0CD292D2" w14:textId="667E8F63" w:rsidR="001048D3" w:rsidRDefault="001048D3" w:rsidP="001A020E">
      <w:pPr>
        <w:tabs>
          <w:tab w:val="left" w:pos="2835"/>
        </w:tabs>
      </w:pPr>
      <w:r w:rsidRPr="0090198B">
        <w:rPr>
          <w:b/>
          <w:bCs/>
        </w:rPr>
        <w:t>Review date</w:t>
      </w:r>
      <w:r>
        <w:t>:</w:t>
      </w:r>
      <w:r w:rsidR="000054D7">
        <w:tab/>
      </w:r>
      <w:r w:rsidR="006A6183">
        <w:t>April</w:t>
      </w:r>
      <w:r w:rsidR="00BD5973">
        <w:t xml:space="preserve"> </w:t>
      </w:r>
      <w:r w:rsidR="000054D7">
        <w:rPr>
          <w:rFonts w:cs="Arial"/>
        </w:rPr>
        <w:t>202</w:t>
      </w:r>
      <w:r w:rsidR="00466275">
        <w:rPr>
          <w:rFonts w:cs="Arial"/>
        </w:rPr>
        <w:t>6</w:t>
      </w:r>
    </w:p>
    <w:p w14:paraId="5503069F" w14:textId="77777777" w:rsidR="007D1FD5" w:rsidRDefault="007D1FD5">
      <w:pPr>
        <w:spacing w:after="160" w:line="259" w:lineRule="auto"/>
        <w:rPr>
          <w:rFonts w:eastAsiaTheme="majorEastAsia" w:cs="Arial"/>
          <w:b/>
          <w:bCs/>
          <w:sz w:val="32"/>
          <w:szCs w:val="26"/>
        </w:rPr>
      </w:pPr>
      <w:r>
        <w:br w:type="page"/>
      </w:r>
    </w:p>
    <w:p w14:paraId="6D724778" w14:textId="1A6FFB29" w:rsidR="001A020E" w:rsidRDefault="001A020E" w:rsidP="001A020E">
      <w:pPr>
        <w:pStyle w:val="Heading2"/>
      </w:pPr>
      <w:r>
        <w:lastRenderedPageBreak/>
        <w:t>Version history</w:t>
      </w:r>
    </w:p>
    <w:tbl>
      <w:tblPr>
        <w:tblStyle w:val="GridTable1Light"/>
        <w:tblW w:w="0" w:type="auto"/>
        <w:tblLook w:val="04A0" w:firstRow="1" w:lastRow="0" w:firstColumn="1" w:lastColumn="0" w:noHBand="0" w:noVBand="1"/>
        <w:tblCaption w:val="Version history"/>
        <w:tblDescription w:val="Details of current and previous versions of the policy"/>
      </w:tblPr>
      <w:tblGrid>
        <w:gridCol w:w="1555"/>
        <w:gridCol w:w="2045"/>
        <w:gridCol w:w="5416"/>
      </w:tblGrid>
      <w:tr w:rsidR="001A020E" w:rsidRPr="003E5BE4" w14:paraId="617B918A" w14:textId="77777777" w:rsidTr="00564C8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42CB2DD" w14:textId="77777777" w:rsidR="001A020E" w:rsidRPr="003E5BE4" w:rsidRDefault="001A020E" w:rsidP="00564C86">
            <w:pPr>
              <w:pStyle w:val="NoSpacing"/>
              <w:rPr>
                <w:b w:val="0"/>
                <w:bCs w:val="0"/>
              </w:rPr>
            </w:pPr>
            <w:r w:rsidRPr="003E5BE4">
              <w:t>Version</w:t>
            </w:r>
          </w:p>
        </w:tc>
        <w:tc>
          <w:tcPr>
            <w:tcW w:w="2045" w:type="dxa"/>
            <w:vAlign w:val="center"/>
          </w:tcPr>
          <w:p w14:paraId="51D6B442" w14:textId="77777777" w:rsidR="001A020E" w:rsidRPr="003E5BE4" w:rsidRDefault="001A020E" w:rsidP="00564C86">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3E5BE4">
              <w:t>Date</w:t>
            </w:r>
          </w:p>
        </w:tc>
        <w:tc>
          <w:tcPr>
            <w:tcW w:w="5416" w:type="dxa"/>
            <w:vAlign w:val="center"/>
          </w:tcPr>
          <w:p w14:paraId="34CE1800" w14:textId="77777777" w:rsidR="001A020E" w:rsidRPr="003E5BE4" w:rsidRDefault="001A020E" w:rsidP="00564C86">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3E5BE4">
              <w:t>Reason for issue</w:t>
            </w:r>
          </w:p>
        </w:tc>
      </w:tr>
      <w:tr w:rsidR="000054D7" w14:paraId="21C082C0" w14:textId="77777777" w:rsidTr="00564C86">
        <w:tc>
          <w:tcPr>
            <w:cnfStyle w:val="001000000000" w:firstRow="0" w:lastRow="0" w:firstColumn="1" w:lastColumn="0" w:oddVBand="0" w:evenVBand="0" w:oddHBand="0" w:evenHBand="0" w:firstRowFirstColumn="0" w:firstRowLastColumn="0" w:lastRowFirstColumn="0" w:lastRowLastColumn="0"/>
            <w:tcW w:w="1555" w:type="dxa"/>
          </w:tcPr>
          <w:p w14:paraId="5C8B374B" w14:textId="4628F0F3" w:rsidR="000054D7" w:rsidRPr="000054D7" w:rsidRDefault="000054D7" w:rsidP="000054D7">
            <w:pPr>
              <w:rPr>
                <w:b w:val="0"/>
                <w:bCs w:val="0"/>
              </w:rPr>
            </w:pPr>
            <w:r w:rsidRPr="000054D7">
              <w:rPr>
                <w:b w:val="0"/>
                <w:bCs w:val="0"/>
              </w:rPr>
              <w:t>1</w:t>
            </w:r>
          </w:p>
        </w:tc>
        <w:tc>
          <w:tcPr>
            <w:tcW w:w="2045" w:type="dxa"/>
          </w:tcPr>
          <w:p w14:paraId="63D5221E" w14:textId="5E78173C" w:rsidR="000054D7" w:rsidRPr="001048D3" w:rsidRDefault="00BD5973" w:rsidP="000054D7">
            <w:pPr>
              <w:cnfStyle w:val="000000000000" w:firstRow="0" w:lastRow="0" w:firstColumn="0" w:lastColumn="0" w:oddVBand="0" w:evenVBand="0" w:oddHBand="0" w:evenHBand="0" w:firstRowFirstColumn="0" w:firstRowLastColumn="0" w:lastRowFirstColumn="0" w:lastRowLastColumn="0"/>
            </w:pPr>
            <w:r>
              <w:t>2</w:t>
            </w:r>
            <w:r w:rsidR="006A6183">
              <w:t>3</w:t>
            </w:r>
            <w:r w:rsidR="000054D7">
              <w:t>/</w:t>
            </w:r>
            <w:r w:rsidR="00466275">
              <w:t>0</w:t>
            </w:r>
            <w:r w:rsidR="006A6183">
              <w:t>4</w:t>
            </w:r>
            <w:r w:rsidR="000054D7">
              <w:t>/202</w:t>
            </w:r>
            <w:r w:rsidR="00466275">
              <w:t>4</w:t>
            </w:r>
          </w:p>
        </w:tc>
        <w:tc>
          <w:tcPr>
            <w:tcW w:w="5416" w:type="dxa"/>
          </w:tcPr>
          <w:p w14:paraId="028ACBFE" w14:textId="2D9C9AF7" w:rsidR="000054D7" w:rsidRPr="001048D3" w:rsidRDefault="000054D7" w:rsidP="000054D7">
            <w:pPr>
              <w:cnfStyle w:val="000000000000" w:firstRow="0" w:lastRow="0" w:firstColumn="0" w:lastColumn="0" w:oddVBand="0" w:evenVBand="0" w:oddHBand="0" w:evenHBand="0" w:firstRowFirstColumn="0" w:firstRowLastColumn="0" w:lastRowFirstColumn="0" w:lastRowLastColumn="0"/>
            </w:pPr>
            <w:r>
              <w:t>New Policy</w:t>
            </w:r>
          </w:p>
        </w:tc>
      </w:tr>
      <w:tr w:rsidR="00A43428" w14:paraId="32E9E9C4" w14:textId="77777777" w:rsidTr="00564C86">
        <w:tc>
          <w:tcPr>
            <w:cnfStyle w:val="001000000000" w:firstRow="0" w:lastRow="0" w:firstColumn="1" w:lastColumn="0" w:oddVBand="0" w:evenVBand="0" w:oddHBand="0" w:evenHBand="0" w:firstRowFirstColumn="0" w:firstRowLastColumn="0" w:lastRowFirstColumn="0" w:lastRowLastColumn="0"/>
            <w:tcW w:w="1555" w:type="dxa"/>
          </w:tcPr>
          <w:p w14:paraId="1EACEFFD" w14:textId="52B9E576" w:rsidR="00A43428" w:rsidRPr="00C64810" w:rsidRDefault="00A43428" w:rsidP="000054D7">
            <w:pPr>
              <w:rPr>
                <w:b w:val="0"/>
                <w:bCs w:val="0"/>
              </w:rPr>
            </w:pPr>
            <w:r w:rsidRPr="00C64810">
              <w:rPr>
                <w:b w:val="0"/>
                <w:bCs w:val="0"/>
              </w:rPr>
              <w:t>2</w:t>
            </w:r>
          </w:p>
        </w:tc>
        <w:tc>
          <w:tcPr>
            <w:tcW w:w="2045" w:type="dxa"/>
          </w:tcPr>
          <w:p w14:paraId="6B7F8224" w14:textId="146CA7D1" w:rsidR="00A43428" w:rsidRDefault="008956D9" w:rsidP="000054D7">
            <w:pPr>
              <w:cnfStyle w:val="000000000000" w:firstRow="0" w:lastRow="0" w:firstColumn="0" w:lastColumn="0" w:oddVBand="0" w:evenVBand="0" w:oddHBand="0" w:evenHBand="0" w:firstRowFirstColumn="0" w:firstRowLastColumn="0" w:lastRowFirstColumn="0" w:lastRowLastColumn="0"/>
            </w:pPr>
            <w:r>
              <w:t>8 May 2024</w:t>
            </w:r>
          </w:p>
        </w:tc>
        <w:tc>
          <w:tcPr>
            <w:tcW w:w="5416" w:type="dxa"/>
          </w:tcPr>
          <w:p w14:paraId="15B098FD" w14:textId="1C3DBFB1" w:rsidR="00A43428" w:rsidRDefault="008956D9" w:rsidP="000054D7">
            <w:pPr>
              <w:cnfStyle w:val="000000000000" w:firstRow="0" w:lastRow="0" w:firstColumn="0" w:lastColumn="0" w:oddVBand="0" w:evenVBand="0" w:oddHBand="0" w:evenHBand="0" w:firstRowFirstColumn="0" w:firstRowLastColumn="0" w:lastRowFirstColumn="0" w:lastRowLastColumn="0"/>
            </w:pPr>
            <w:r>
              <w:t>Amendments to para 2.3,</w:t>
            </w:r>
            <w:r w:rsidR="00DB0169">
              <w:t xml:space="preserve"> 2.3.3 and 2.5</w:t>
            </w:r>
            <w:r w:rsidR="00FA04A2">
              <w:t>.1</w:t>
            </w:r>
          </w:p>
        </w:tc>
      </w:tr>
    </w:tbl>
    <w:p w14:paraId="02994B12" w14:textId="77777777" w:rsidR="001A020E" w:rsidRPr="000A31B0" w:rsidRDefault="001A020E" w:rsidP="001A020E">
      <w:pPr>
        <w:pStyle w:val="Heading2"/>
      </w:pPr>
      <w:r w:rsidRPr="000A31B0">
        <w:t>Code of Ethics</w:t>
      </w:r>
    </w:p>
    <w:p w14:paraId="4DE1980D" w14:textId="77777777" w:rsidR="001A020E" w:rsidRDefault="001A020E" w:rsidP="001A020E">
      <w:r w:rsidRPr="000A31B0">
        <w:t>All staff involved in carrying out functions under this policy and associated procedures and appendices will do so in accordance with the principles of the Code of Ethics. The aim of the Code of Ethics is to support each member of the policing profession to deliver the highest professional standards in their service to the public.</w:t>
      </w:r>
    </w:p>
    <w:p w14:paraId="62931280" w14:textId="2DA42E7C" w:rsidR="001A020E" w:rsidRDefault="001A020E" w:rsidP="001A020E">
      <w:pPr>
        <w:pStyle w:val="Heading2"/>
      </w:pPr>
      <w:r w:rsidRPr="00205C00">
        <w:t xml:space="preserve">Legislative </w:t>
      </w:r>
      <w:r w:rsidR="003A044F">
        <w:t>c</w:t>
      </w:r>
      <w:r w:rsidRPr="00205C00">
        <w:t>ompliance</w:t>
      </w:r>
    </w:p>
    <w:p w14:paraId="3F3998EF" w14:textId="26B02D2D" w:rsidR="001A020E" w:rsidRPr="00205C00" w:rsidRDefault="001A020E" w:rsidP="001A020E">
      <w:r w:rsidRPr="00205C00">
        <w:t xml:space="preserve">This document has been drafted to comply with the principles of the Human Rights Act. Proportionality has been identified as the key to Human Rights compliance, this means striking a fair balance between the rights of the </w:t>
      </w:r>
      <w:r>
        <w:t>staff</w:t>
      </w:r>
      <w:r w:rsidRPr="00205C00">
        <w:t xml:space="preserve"> and those of the rest of the community. There must be a reasonable relationship between the aim to be achieved and the means used.</w:t>
      </w:r>
    </w:p>
    <w:p w14:paraId="1FACD9E6" w14:textId="77777777" w:rsidR="001A020E" w:rsidRDefault="001A020E" w:rsidP="001A020E">
      <w:r w:rsidRPr="00205C00">
        <w:t>Equality and Diversity issues have also been considered to ensure compliance with the Equality Act 2010 and meet our legal obligation in relation to the equality duty. In addition, Data Protection, Freedom of Information and Health and Safety Issues have been considered. Adherence to this policy or procedure will therefore ensure compliance with all relevant legislation and internal policies.</w:t>
      </w:r>
    </w:p>
    <w:p w14:paraId="45301490" w14:textId="77777777" w:rsidR="001A020E" w:rsidRPr="00365AB2" w:rsidRDefault="001A020E" w:rsidP="001A020E">
      <w:pPr>
        <w:rPr>
          <w:color w:val="FF0000"/>
        </w:rPr>
      </w:pPr>
      <w:r w:rsidRPr="00365AB2">
        <w:t>Other legislation/law which this policy has been drafted to comply with:</w:t>
      </w:r>
    </w:p>
    <w:p w14:paraId="6091A124" w14:textId="77777777" w:rsidR="001A020E" w:rsidRPr="008F272F" w:rsidRDefault="00000000" w:rsidP="001A020E">
      <w:pPr>
        <w:pStyle w:val="ListParagraph"/>
        <w:numPr>
          <w:ilvl w:val="0"/>
          <w:numId w:val="3"/>
        </w:numPr>
      </w:pPr>
      <w:hyperlink r:id="rId9" w:history="1">
        <w:r w:rsidR="001A020E" w:rsidRPr="008F272F">
          <w:rPr>
            <w:rStyle w:val="Hyperlink"/>
          </w:rPr>
          <w:t>Human Rights Act 1998 (in particular A.14 – Prohibition of discrimination)</w:t>
        </w:r>
      </w:hyperlink>
    </w:p>
    <w:p w14:paraId="4DDFD132" w14:textId="77777777" w:rsidR="001A020E" w:rsidRPr="008F272F" w:rsidRDefault="00000000" w:rsidP="001A020E">
      <w:pPr>
        <w:pStyle w:val="ListParagraph"/>
        <w:numPr>
          <w:ilvl w:val="0"/>
          <w:numId w:val="3"/>
        </w:numPr>
      </w:pPr>
      <w:hyperlink r:id="rId10" w:history="1">
        <w:r w:rsidR="001A020E" w:rsidRPr="008F272F">
          <w:rPr>
            <w:rStyle w:val="Hyperlink"/>
          </w:rPr>
          <w:t>Equality Act 2010</w:t>
        </w:r>
      </w:hyperlink>
    </w:p>
    <w:p w14:paraId="1E695351" w14:textId="77777777" w:rsidR="001A020E" w:rsidRPr="008F272F" w:rsidRDefault="00000000" w:rsidP="001A020E">
      <w:pPr>
        <w:pStyle w:val="ListParagraph"/>
        <w:numPr>
          <w:ilvl w:val="0"/>
          <w:numId w:val="3"/>
        </w:numPr>
      </w:pPr>
      <w:hyperlink r:id="rId11" w:history="1">
        <w:r w:rsidR="001A020E" w:rsidRPr="008F272F">
          <w:rPr>
            <w:rStyle w:val="Hyperlink"/>
          </w:rPr>
          <w:t>Crime and Disorder Act 1998</w:t>
        </w:r>
      </w:hyperlink>
    </w:p>
    <w:p w14:paraId="49AE1055" w14:textId="77777777" w:rsidR="001A020E" w:rsidRPr="008F272F" w:rsidRDefault="00000000" w:rsidP="001A020E">
      <w:pPr>
        <w:pStyle w:val="ListParagraph"/>
        <w:numPr>
          <w:ilvl w:val="0"/>
          <w:numId w:val="3"/>
        </w:numPr>
      </w:pPr>
      <w:hyperlink r:id="rId12" w:history="1">
        <w:r w:rsidR="001A020E" w:rsidRPr="008F272F">
          <w:rPr>
            <w:rStyle w:val="Hyperlink"/>
          </w:rPr>
          <w:t>H&amp;S legislation</w:t>
        </w:r>
      </w:hyperlink>
    </w:p>
    <w:p w14:paraId="35B578C7" w14:textId="77777777" w:rsidR="001A020E" w:rsidRPr="008F272F" w:rsidRDefault="00000000" w:rsidP="001A020E">
      <w:pPr>
        <w:pStyle w:val="ListParagraph"/>
        <w:numPr>
          <w:ilvl w:val="0"/>
          <w:numId w:val="3"/>
        </w:numPr>
      </w:pPr>
      <w:hyperlink r:id="rId13" w:history="1">
        <w:r w:rsidR="001A020E" w:rsidRPr="008F272F">
          <w:rPr>
            <w:rStyle w:val="Hyperlink"/>
          </w:rPr>
          <w:t>Data Protection Act 2018</w:t>
        </w:r>
      </w:hyperlink>
    </w:p>
    <w:p w14:paraId="0DE7335A" w14:textId="77777777" w:rsidR="001A020E" w:rsidRPr="008F272F" w:rsidRDefault="00000000" w:rsidP="001A020E">
      <w:pPr>
        <w:pStyle w:val="ListParagraph"/>
        <w:numPr>
          <w:ilvl w:val="0"/>
          <w:numId w:val="3"/>
        </w:numPr>
      </w:pPr>
      <w:hyperlink r:id="rId14" w:history="1">
        <w:r w:rsidR="001A020E" w:rsidRPr="008F272F">
          <w:rPr>
            <w:rStyle w:val="Hyperlink"/>
          </w:rPr>
          <w:t>Freedom Of Information Act 2000</w:t>
        </w:r>
      </w:hyperlink>
    </w:p>
    <w:p w14:paraId="79A9BAFD" w14:textId="79E67702" w:rsidR="001A020E" w:rsidRDefault="001A020E" w:rsidP="001A020E">
      <w:pPr>
        <w:pStyle w:val="Heading2"/>
      </w:pPr>
      <w:r w:rsidRPr="003B2356">
        <w:t xml:space="preserve">Security </w:t>
      </w:r>
      <w:r w:rsidR="003A044F">
        <w:t>c</w:t>
      </w:r>
      <w:r w:rsidRPr="003B2356">
        <w:t>lassification</w:t>
      </w:r>
    </w:p>
    <w:p w14:paraId="7F777E0F" w14:textId="3F581115" w:rsidR="001A020E" w:rsidRDefault="001A020E" w:rsidP="001A020E">
      <w:pPr>
        <w:ind w:right="-51"/>
        <w:jc w:val="both"/>
        <w:rPr>
          <w:rFonts w:cs="Arial"/>
          <w:b/>
        </w:rPr>
      </w:pPr>
      <w:r>
        <w:rPr>
          <w:rFonts w:cs="Arial"/>
          <w:b/>
        </w:rPr>
        <w:t xml:space="preserve">Policy to be published on Intranet: </w:t>
      </w:r>
      <w:r w:rsidR="0082369F" w:rsidRPr="0082369F">
        <w:rPr>
          <w:rFonts w:cs="Arial"/>
          <w:bCs/>
        </w:rPr>
        <w:t>Yes</w:t>
      </w:r>
    </w:p>
    <w:p w14:paraId="262BF2EC" w14:textId="18A47237" w:rsidR="001A020E" w:rsidRPr="00D36E83" w:rsidRDefault="001A020E" w:rsidP="001A020E">
      <w:pPr>
        <w:spacing w:before="240"/>
        <w:ind w:right="-51"/>
        <w:jc w:val="both"/>
        <w:rPr>
          <w:rFonts w:cs="Arial"/>
          <w:b/>
          <w:color w:val="FF0000"/>
        </w:rPr>
      </w:pPr>
      <w:r>
        <w:rPr>
          <w:rFonts w:cs="Arial"/>
          <w:b/>
        </w:rPr>
        <w:t xml:space="preserve">Policy to be published on Force Website: </w:t>
      </w:r>
      <w:r w:rsidR="009A3CFC">
        <w:rPr>
          <w:rFonts w:cs="Arial"/>
          <w:bCs/>
        </w:rPr>
        <w:t>Y</w:t>
      </w:r>
      <w:r w:rsidR="00462B05">
        <w:rPr>
          <w:rFonts w:cs="Arial"/>
          <w:bCs/>
        </w:rPr>
        <w:t>es</w:t>
      </w:r>
      <w:r w:rsidR="0000732D">
        <w:rPr>
          <w:rFonts w:cs="Arial"/>
          <w:bCs/>
        </w:rPr>
        <w:t xml:space="preserve"> </w:t>
      </w:r>
    </w:p>
    <w:p w14:paraId="42FB737D" w14:textId="2E24535F" w:rsidR="000054D7" w:rsidRDefault="001A020E" w:rsidP="000054D7">
      <w:pPr>
        <w:pStyle w:val="Heading2"/>
        <w:rPr>
          <w:rFonts w:eastAsia="Calibri"/>
          <w:lang w:eastAsia="en-GB"/>
        </w:rPr>
      </w:pPr>
      <w:r w:rsidRPr="009A56C9">
        <w:rPr>
          <w:rFonts w:eastAsia="Calibri"/>
          <w:lang w:eastAsia="en-GB"/>
        </w:rPr>
        <w:t>Authorised Professional Practice (APP)</w:t>
      </w:r>
    </w:p>
    <w:p w14:paraId="429F31D0" w14:textId="040B5F5A" w:rsidR="000054D7" w:rsidRPr="000054D7" w:rsidRDefault="00276CB8" w:rsidP="000054D7">
      <w:pPr>
        <w:rPr>
          <w:lang w:eastAsia="en-GB"/>
        </w:rPr>
      </w:pPr>
      <w:r w:rsidRPr="00276CB8">
        <w:rPr>
          <w:lang w:eastAsia="en-GB"/>
        </w:rPr>
        <w:t>This Policy has been checked against APP and there is none in relation to the subject matter of this Policy</w:t>
      </w:r>
      <w:r>
        <w:rPr>
          <w:lang w:eastAsia="en-GB"/>
        </w:rPr>
        <w:t>.</w:t>
      </w:r>
    </w:p>
    <w:p w14:paraId="5F41A6B2" w14:textId="2A993DA7" w:rsidR="001A020E" w:rsidRDefault="001A020E" w:rsidP="00FD4C5F">
      <w:pPr>
        <w:pStyle w:val="Heading2"/>
        <w:tabs>
          <w:tab w:val="left" w:pos="993"/>
        </w:tabs>
        <w:ind w:left="993" w:hanging="993"/>
        <w:rPr>
          <w:lang w:eastAsia="en-GB"/>
        </w:rPr>
      </w:pPr>
      <w:r>
        <w:rPr>
          <w:lang w:eastAsia="en-GB"/>
        </w:rPr>
        <w:t>1.</w:t>
      </w:r>
      <w:r w:rsidR="0090198B">
        <w:rPr>
          <w:lang w:eastAsia="en-GB"/>
        </w:rPr>
        <w:t xml:space="preserve"> </w:t>
      </w:r>
      <w:r w:rsidR="0090198B">
        <w:rPr>
          <w:lang w:eastAsia="en-GB"/>
        </w:rPr>
        <w:tab/>
      </w:r>
      <w:r>
        <w:rPr>
          <w:lang w:eastAsia="en-GB"/>
        </w:rPr>
        <w:t>Policy aims (Purpose)</w:t>
      </w:r>
    </w:p>
    <w:p w14:paraId="4EDC4E8F" w14:textId="6CB27B09" w:rsidR="000054D7" w:rsidRDefault="000054D7" w:rsidP="00FD4C5F">
      <w:pPr>
        <w:tabs>
          <w:tab w:val="left" w:pos="993"/>
        </w:tabs>
        <w:ind w:left="993" w:hanging="993"/>
        <w:rPr>
          <w:lang w:eastAsia="en-GB"/>
        </w:rPr>
      </w:pPr>
      <w:r>
        <w:rPr>
          <w:lang w:eastAsia="en-GB"/>
        </w:rPr>
        <w:t>1.1.</w:t>
      </w:r>
      <w:r>
        <w:rPr>
          <w:lang w:eastAsia="en-GB"/>
        </w:rPr>
        <w:tab/>
        <w:t>Lincolnshire Police is committed to providing safeguarding measures to victims of domestic abuse. The purpose of this document is to outline the policy and associated procedures for the deployment of</w:t>
      </w:r>
      <w:r w:rsidR="00BD4EAF">
        <w:rPr>
          <w:lang w:eastAsia="en-GB"/>
        </w:rPr>
        <w:t xml:space="preserve"> </w:t>
      </w:r>
      <w:r w:rsidR="00466275">
        <w:rPr>
          <w:lang w:eastAsia="en-GB"/>
        </w:rPr>
        <w:t>SMART WATER</w:t>
      </w:r>
      <w:r>
        <w:rPr>
          <w:lang w:eastAsia="en-GB"/>
        </w:rPr>
        <w:t>.</w:t>
      </w:r>
    </w:p>
    <w:p w14:paraId="74BE9CA9" w14:textId="79E5B5B4" w:rsidR="000054D7" w:rsidRDefault="00360296" w:rsidP="00FD4C5F">
      <w:pPr>
        <w:tabs>
          <w:tab w:val="left" w:pos="993"/>
        </w:tabs>
        <w:ind w:left="993" w:hanging="993"/>
        <w:rPr>
          <w:lang w:eastAsia="en-GB"/>
        </w:rPr>
      </w:pPr>
      <w:r>
        <w:rPr>
          <w:lang w:eastAsia="en-GB"/>
        </w:rPr>
        <w:t>1</w:t>
      </w:r>
      <w:r w:rsidR="00680F5B">
        <w:rPr>
          <w:lang w:eastAsia="en-GB"/>
        </w:rPr>
        <w:t>.</w:t>
      </w:r>
      <w:r>
        <w:rPr>
          <w:lang w:eastAsia="en-GB"/>
        </w:rPr>
        <w:t>2</w:t>
      </w:r>
      <w:r w:rsidR="009A3CFC">
        <w:rPr>
          <w:lang w:eastAsia="en-GB"/>
        </w:rPr>
        <w:t>.</w:t>
      </w:r>
      <w:r w:rsidR="000054D7">
        <w:rPr>
          <w:lang w:eastAsia="en-GB"/>
        </w:rPr>
        <w:tab/>
        <w:t xml:space="preserve">This guidance specifically relates to the allocation, deployment, police response and withdrawal of </w:t>
      </w:r>
      <w:r w:rsidR="00466275">
        <w:rPr>
          <w:lang w:eastAsia="en-GB"/>
        </w:rPr>
        <w:t>SMART WATER</w:t>
      </w:r>
      <w:r w:rsidR="000054D7">
        <w:rPr>
          <w:lang w:eastAsia="en-GB"/>
        </w:rPr>
        <w:t xml:space="preserve"> and the relevant </w:t>
      </w:r>
      <w:r w:rsidR="00466275">
        <w:rPr>
          <w:lang w:eastAsia="en-GB"/>
        </w:rPr>
        <w:t>deterrent options</w:t>
      </w:r>
      <w:r w:rsidR="000054D7">
        <w:rPr>
          <w:lang w:eastAsia="en-GB"/>
        </w:rPr>
        <w:t xml:space="preserve"> that it offers to support Lincolnshire Police in the protection and safeguarding of high-risk vulnerable persons and in some cases medium risk victims.  </w:t>
      </w:r>
    </w:p>
    <w:p w14:paraId="1807F0FB" w14:textId="7C78C6CE" w:rsidR="000054D7" w:rsidRDefault="00680F5B" w:rsidP="00FD4C5F">
      <w:pPr>
        <w:tabs>
          <w:tab w:val="left" w:pos="993"/>
        </w:tabs>
        <w:ind w:left="993" w:hanging="993"/>
        <w:rPr>
          <w:lang w:eastAsia="en-GB"/>
        </w:rPr>
      </w:pPr>
      <w:r>
        <w:rPr>
          <w:lang w:eastAsia="en-GB"/>
        </w:rPr>
        <w:t>1.3</w:t>
      </w:r>
      <w:r w:rsidR="009A3CFC">
        <w:rPr>
          <w:lang w:eastAsia="en-GB"/>
        </w:rPr>
        <w:t>.</w:t>
      </w:r>
      <w:r w:rsidR="000054D7">
        <w:rPr>
          <w:lang w:eastAsia="en-GB"/>
        </w:rPr>
        <w:tab/>
        <w:t>It is the Policy of Lincolnshire Police to instruct staff in relation to best practice and that of APP from the College of Policing.</w:t>
      </w:r>
    </w:p>
    <w:p w14:paraId="330E51E7" w14:textId="34AFA4E0" w:rsidR="001A020E" w:rsidRDefault="001A020E" w:rsidP="00FD4C5F">
      <w:pPr>
        <w:pStyle w:val="Heading2"/>
        <w:tabs>
          <w:tab w:val="left" w:pos="993"/>
        </w:tabs>
        <w:ind w:left="993" w:hanging="993"/>
        <w:rPr>
          <w:lang w:eastAsia="en-GB"/>
        </w:rPr>
      </w:pPr>
      <w:r>
        <w:rPr>
          <w:lang w:eastAsia="en-GB"/>
        </w:rPr>
        <w:t xml:space="preserve">2. </w:t>
      </w:r>
      <w:r w:rsidR="0051530F">
        <w:rPr>
          <w:lang w:eastAsia="en-GB"/>
        </w:rPr>
        <w:tab/>
      </w:r>
      <w:r>
        <w:rPr>
          <w:lang w:eastAsia="en-GB"/>
        </w:rPr>
        <w:t>Policy statement (Key information)</w:t>
      </w:r>
    </w:p>
    <w:p w14:paraId="5E25AF89" w14:textId="60D7A245" w:rsidR="00466275" w:rsidRPr="00466275" w:rsidRDefault="000054D7" w:rsidP="00FD4C5F">
      <w:pPr>
        <w:tabs>
          <w:tab w:val="left" w:pos="993"/>
        </w:tabs>
        <w:ind w:left="993" w:hanging="993"/>
        <w:rPr>
          <w:color w:val="000000" w:themeColor="text1"/>
          <w:lang w:eastAsia="en-GB"/>
        </w:rPr>
      </w:pPr>
      <w:r>
        <w:rPr>
          <w:lang w:eastAsia="en-GB"/>
        </w:rPr>
        <w:t>2.1.</w:t>
      </w:r>
      <w:r>
        <w:rPr>
          <w:lang w:eastAsia="en-GB"/>
        </w:rPr>
        <w:tab/>
        <w:t xml:space="preserve">The </w:t>
      </w:r>
      <w:r w:rsidR="00466275">
        <w:rPr>
          <w:lang w:eastAsia="en-GB"/>
        </w:rPr>
        <w:t>SMART WATER product</w:t>
      </w:r>
      <w:r>
        <w:rPr>
          <w:lang w:eastAsia="en-GB"/>
        </w:rPr>
        <w:t xml:space="preserve"> was originally designed </w:t>
      </w:r>
      <w:r w:rsidR="00466275">
        <w:rPr>
          <w:lang w:eastAsia="en-GB"/>
        </w:rPr>
        <w:t xml:space="preserve">and utilised within policing and by private industry to act as a deterrent and application for identification of crime. </w:t>
      </w:r>
      <w:r w:rsidR="00466275" w:rsidRPr="00466275">
        <w:rPr>
          <w:rFonts w:cs="Arial"/>
          <w:color w:val="000000" w:themeColor="text1"/>
          <w:shd w:val="clear" w:color="auto" w:fill="FFFFFF"/>
        </w:rPr>
        <w:t>Smart Water </w:t>
      </w:r>
      <w:r w:rsidR="00466275" w:rsidRPr="00466275">
        <w:rPr>
          <w:rFonts w:cs="Arial"/>
          <w:color w:val="000000" w:themeColor="text1"/>
        </w:rPr>
        <w:t>consists of a liquid containing a code</w:t>
      </w:r>
      <w:r w:rsidR="00466275" w:rsidRPr="00466275">
        <w:rPr>
          <w:rFonts w:cs="Arial"/>
          <w:color w:val="000000" w:themeColor="text1"/>
          <w:shd w:val="clear" w:color="auto" w:fill="FFFFFF"/>
        </w:rPr>
        <w:t>. The presence of Smart Water can be seen under ultraviolet light. It is</w:t>
      </w:r>
      <w:r w:rsidR="00F3723D">
        <w:rPr>
          <w:rFonts w:cs="Arial"/>
          <w:color w:val="000000" w:themeColor="text1"/>
          <w:shd w:val="clear" w:color="auto" w:fill="FFFFFF"/>
        </w:rPr>
        <w:t xml:space="preserve"> still </w:t>
      </w:r>
      <w:r w:rsidR="00466275" w:rsidRPr="00466275">
        <w:rPr>
          <w:rFonts w:cs="Arial"/>
          <w:color w:val="000000" w:themeColor="text1"/>
          <w:shd w:val="clear" w:color="auto" w:fill="FFFFFF"/>
        </w:rPr>
        <w:t xml:space="preserve">applied to valuable items, so that if they are stolen and later recovered by police, their original owner can be determined after laboratory testing of a </w:t>
      </w:r>
      <w:r w:rsidR="00466275" w:rsidRPr="00466275">
        <w:rPr>
          <w:rFonts w:cs="Arial"/>
          <w:color w:val="000000" w:themeColor="text1"/>
          <w:shd w:val="clear" w:color="auto" w:fill="FFFFFF"/>
        </w:rPr>
        <w:lastRenderedPageBreak/>
        <w:t>sample</w:t>
      </w:r>
      <w:r w:rsidR="00F3723D">
        <w:rPr>
          <w:rFonts w:cs="Arial"/>
          <w:color w:val="000000" w:themeColor="text1"/>
          <w:shd w:val="clear" w:color="auto" w:fill="FFFFFF"/>
        </w:rPr>
        <w:t xml:space="preserve">. Police purpose use will be to identify that a suspect has been in the vicinity of a victim or their home and the identification of the SMART WATER on the suspect would assist evidentially in pursuing an allegation of crime and obtaining a prosecution on such evidence. </w:t>
      </w:r>
    </w:p>
    <w:p w14:paraId="442EC4D0" w14:textId="4802A04A" w:rsidR="000054D7" w:rsidRDefault="000054D7" w:rsidP="009A3CFC">
      <w:pPr>
        <w:pStyle w:val="Heading3"/>
        <w:tabs>
          <w:tab w:val="left" w:pos="993"/>
        </w:tabs>
        <w:rPr>
          <w:lang w:eastAsia="en-GB"/>
        </w:rPr>
      </w:pPr>
      <w:r>
        <w:rPr>
          <w:lang w:eastAsia="en-GB"/>
        </w:rPr>
        <w:t>2.2.</w:t>
      </w:r>
      <w:r>
        <w:rPr>
          <w:lang w:eastAsia="en-GB"/>
        </w:rPr>
        <w:tab/>
        <w:t>Definitions</w:t>
      </w:r>
    </w:p>
    <w:p w14:paraId="51414949" w14:textId="63236645" w:rsidR="000054D7" w:rsidRPr="00F3723D" w:rsidRDefault="000054D7" w:rsidP="009A3CFC">
      <w:pPr>
        <w:pStyle w:val="Heading4"/>
        <w:tabs>
          <w:tab w:val="left" w:pos="993"/>
        </w:tabs>
        <w:rPr>
          <w:lang w:eastAsia="en-GB"/>
        </w:rPr>
      </w:pPr>
      <w:r>
        <w:rPr>
          <w:lang w:eastAsia="en-GB"/>
        </w:rPr>
        <w:tab/>
      </w:r>
      <w:r w:rsidR="00F3723D" w:rsidRPr="00F3723D">
        <w:rPr>
          <w:lang w:eastAsia="en-GB"/>
        </w:rPr>
        <w:t>SMART WATER</w:t>
      </w:r>
    </w:p>
    <w:p w14:paraId="50A55AAC" w14:textId="10070F61" w:rsidR="000054D7" w:rsidRDefault="00886954" w:rsidP="00FD4C5F">
      <w:pPr>
        <w:tabs>
          <w:tab w:val="left" w:pos="993"/>
        </w:tabs>
        <w:ind w:left="993" w:hanging="993"/>
        <w:rPr>
          <w:lang w:eastAsia="en-GB"/>
        </w:rPr>
      </w:pPr>
      <w:r>
        <w:rPr>
          <w:lang w:eastAsia="en-GB"/>
        </w:rPr>
        <w:t>2.2.</w:t>
      </w:r>
      <w:r w:rsidR="009A3CFC">
        <w:rPr>
          <w:lang w:eastAsia="en-GB"/>
        </w:rPr>
        <w:t>1.</w:t>
      </w:r>
      <w:r w:rsidR="000054D7">
        <w:rPr>
          <w:lang w:eastAsia="en-GB"/>
        </w:rPr>
        <w:tab/>
        <w:t xml:space="preserve">The safeguarding of vulnerable people is the responsibility of all police officers and staff within Lincolnshire Police. The issue of </w:t>
      </w:r>
      <w:r w:rsidR="00F3723D">
        <w:rPr>
          <w:lang w:eastAsia="en-GB"/>
        </w:rPr>
        <w:t>SMART WATER</w:t>
      </w:r>
      <w:r w:rsidR="000054D7">
        <w:rPr>
          <w:lang w:eastAsia="en-GB"/>
        </w:rPr>
        <w:t xml:space="preserve"> is one of a number of tactical options that should be considered when implementing a safety plan to manage the risk posed to individuals at risk of domestic abuse.</w:t>
      </w:r>
    </w:p>
    <w:p w14:paraId="72945A90" w14:textId="5C229A91" w:rsidR="000054D7" w:rsidRDefault="00886954" w:rsidP="00FD4C5F">
      <w:pPr>
        <w:tabs>
          <w:tab w:val="left" w:pos="993"/>
        </w:tabs>
        <w:ind w:left="993" w:hanging="993"/>
        <w:rPr>
          <w:lang w:eastAsia="en-GB"/>
        </w:rPr>
      </w:pPr>
      <w:r>
        <w:rPr>
          <w:lang w:eastAsia="en-GB"/>
        </w:rPr>
        <w:t>2.2.</w:t>
      </w:r>
      <w:r w:rsidR="009A3CFC">
        <w:rPr>
          <w:lang w:eastAsia="en-GB"/>
        </w:rPr>
        <w:t>2.</w:t>
      </w:r>
      <w:r w:rsidR="000054D7">
        <w:rPr>
          <w:lang w:eastAsia="en-GB"/>
        </w:rPr>
        <w:tab/>
        <w:t xml:space="preserve">Officers should refer to the College of Policing, </w:t>
      </w:r>
      <w:r w:rsidR="00BD5973">
        <w:rPr>
          <w:lang w:eastAsia="en-GB"/>
        </w:rPr>
        <w:t>Forensic marking to deter repeat victimisation related to domestic abuse and sexual offences</w:t>
      </w:r>
      <w:r w:rsidR="000054D7">
        <w:rPr>
          <w:lang w:eastAsia="en-GB"/>
        </w:rPr>
        <w:t xml:space="preserve">. </w:t>
      </w:r>
    </w:p>
    <w:p w14:paraId="3A3EF704" w14:textId="469C764C" w:rsidR="000054D7" w:rsidRDefault="000054D7" w:rsidP="00FD4C5F">
      <w:pPr>
        <w:tabs>
          <w:tab w:val="left" w:pos="993"/>
        </w:tabs>
        <w:ind w:left="993" w:hanging="993"/>
        <w:rPr>
          <w:lang w:eastAsia="en-GB"/>
        </w:rPr>
      </w:pPr>
      <w:r>
        <w:rPr>
          <w:lang w:eastAsia="en-GB"/>
        </w:rPr>
        <w:t>2.2.</w:t>
      </w:r>
      <w:r w:rsidR="00886954">
        <w:rPr>
          <w:lang w:eastAsia="en-GB"/>
        </w:rPr>
        <w:t>3</w:t>
      </w:r>
      <w:r>
        <w:rPr>
          <w:lang w:eastAsia="en-GB"/>
        </w:rPr>
        <w:t>.</w:t>
      </w:r>
      <w:r>
        <w:rPr>
          <w:lang w:eastAsia="en-GB"/>
        </w:rPr>
        <w:tab/>
      </w:r>
      <w:r w:rsidR="005833FE">
        <w:rPr>
          <w:lang w:eastAsia="en-GB"/>
        </w:rPr>
        <w:t>SMART WATER is</w:t>
      </w:r>
      <w:r>
        <w:rPr>
          <w:lang w:eastAsia="en-GB"/>
        </w:rPr>
        <w:t xml:space="preserve"> an initiative to provide </w:t>
      </w:r>
      <w:r w:rsidR="00B26B3D">
        <w:rPr>
          <w:lang w:eastAsia="en-GB"/>
        </w:rPr>
        <w:t xml:space="preserve">predominately </w:t>
      </w:r>
      <w:r>
        <w:rPr>
          <w:lang w:eastAsia="en-GB"/>
        </w:rPr>
        <w:t>high</w:t>
      </w:r>
      <w:r w:rsidR="00BD5973">
        <w:rPr>
          <w:lang w:eastAsia="en-GB"/>
        </w:rPr>
        <w:t>-</w:t>
      </w:r>
      <w:r>
        <w:rPr>
          <w:lang w:eastAsia="en-GB"/>
        </w:rPr>
        <w:t xml:space="preserve">risk individuals an enhanced </w:t>
      </w:r>
      <w:r w:rsidR="005833FE">
        <w:rPr>
          <w:lang w:eastAsia="en-GB"/>
        </w:rPr>
        <w:t>service from protection of domestic abuse but not excluding medium risk.</w:t>
      </w:r>
      <w:r>
        <w:rPr>
          <w:lang w:eastAsia="en-GB"/>
        </w:rPr>
        <w:t xml:space="preserve"> </w:t>
      </w:r>
    </w:p>
    <w:p w14:paraId="1C972587" w14:textId="36908A0A" w:rsidR="000054D7" w:rsidRDefault="00886954" w:rsidP="00FD4C5F">
      <w:pPr>
        <w:tabs>
          <w:tab w:val="left" w:pos="993"/>
        </w:tabs>
        <w:ind w:left="993" w:hanging="993"/>
        <w:rPr>
          <w:lang w:eastAsia="en-GB"/>
        </w:rPr>
      </w:pPr>
      <w:r>
        <w:rPr>
          <w:lang w:eastAsia="en-GB"/>
        </w:rPr>
        <w:t>2.2.4</w:t>
      </w:r>
      <w:r w:rsidR="009A3CFC">
        <w:rPr>
          <w:lang w:eastAsia="en-GB"/>
        </w:rPr>
        <w:t>.</w:t>
      </w:r>
      <w:r w:rsidR="000054D7">
        <w:rPr>
          <w:lang w:eastAsia="en-GB"/>
        </w:rPr>
        <w:tab/>
        <w:t xml:space="preserve">The </w:t>
      </w:r>
      <w:r w:rsidR="005833FE">
        <w:rPr>
          <w:lang w:eastAsia="en-GB"/>
        </w:rPr>
        <w:t xml:space="preserve">education </w:t>
      </w:r>
      <w:r w:rsidR="00BD5973">
        <w:rPr>
          <w:lang w:eastAsia="en-GB"/>
        </w:rPr>
        <w:t>of</w:t>
      </w:r>
      <w:r w:rsidR="005833FE">
        <w:rPr>
          <w:lang w:eastAsia="en-GB"/>
        </w:rPr>
        <w:t xml:space="preserve"> the victim when being provided with the product will be paramount to the execution and use. Once deployed to a victim the identifying markers will become traceable through the P</w:t>
      </w:r>
      <w:r w:rsidR="00527DFA">
        <w:rPr>
          <w:lang w:eastAsia="en-GB"/>
        </w:rPr>
        <w:t xml:space="preserve">olice </w:t>
      </w:r>
      <w:r w:rsidR="005833FE">
        <w:rPr>
          <w:lang w:eastAsia="en-GB"/>
        </w:rPr>
        <w:t>S</w:t>
      </w:r>
      <w:r w:rsidR="00527DFA">
        <w:rPr>
          <w:lang w:eastAsia="en-GB"/>
        </w:rPr>
        <w:t xml:space="preserve">afeguarding </w:t>
      </w:r>
      <w:r w:rsidR="005833FE">
        <w:rPr>
          <w:lang w:eastAsia="en-GB"/>
        </w:rPr>
        <w:t>H</w:t>
      </w:r>
      <w:r w:rsidR="00527DFA">
        <w:rPr>
          <w:lang w:eastAsia="en-GB"/>
        </w:rPr>
        <w:t>ub</w:t>
      </w:r>
      <w:r w:rsidR="005833FE">
        <w:rPr>
          <w:lang w:eastAsia="en-GB"/>
        </w:rPr>
        <w:t xml:space="preserve"> to the victim of the </w:t>
      </w:r>
      <w:r w:rsidR="00BD5973">
        <w:rPr>
          <w:lang w:eastAsia="en-GB"/>
        </w:rPr>
        <w:t xml:space="preserve">issued </w:t>
      </w:r>
      <w:r w:rsidR="005833FE">
        <w:rPr>
          <w:lang w:eastAsia="en-GB"/>
        </w:rPr>
        <w:t>product and a NICHE marker attached.</w:t>
      </w:r>
    </w:p>
    <w:p w14:paraId="6D87740C" w14:textId="620C618B" w:rsidR="000054D7" w:rsidRDefault="00886954" w:rsidP="00FD4C5F">
      <w:pPr>
        <w:tabs>
          <w:tab w:val="left" w:pos="993"/>
        </w:tabs>
        <w:ind w:left="993" w:hanging="993"/>
        <w:rPr>
          <w:lang w:eastAsia="en-GB"/>
        </w:rPr>
      </w:pPr>
      <w:r>
        <w:rPr>
          <w:lang w:eastAsia="en-GB"/>
        </w:rPr>
        <w:t>2.2.5</w:t>
      </w:r>
      <w:r w:rsidR="009A3CFC">
        <w:rPr>
          <w:lang w:eastAsia="en-GB"/>
        </w:rPr>
        <w:t>.</w:t>
      </w:r>
      <w:r w:rsidR="000054D7">
        <w:rPr>
          <w:lang w:eastAsia="en-GB"/>
        </w:rPr>
        <w:tab/>
        <w:t xml:space="preserve">The </w:t>
      </w:r>
      <w:r w:rsidR="005833FE">
        <w:rPr>
          <w:lang w:eastAsia="en-GB"/>
        </w:rPr>
        <w:t>product will be tracked solely within P</w:t>
      </w:r>
      <w:r w:rsidR="00527DFA">
        <w:rPr>
          <w:lang w:eastAsia="en-GB"/>
        </w:rPr>
        <w:t>olice Safeguarding Hub</w:t>
      </w:r>
      <w:r w:rsidR="005833FE">
        <w:rPr>
          <w:lang w:eastAsia="en-GB"/>
        </w:rPr>
        <w:t>.</w:t>
      </w:r>
    </w:p>
    <w:p w14:paraId="2B3C1358" w14:textId="7C5BD205" w:rsidR="000054D7" w:rsidRPr="009A3CFC" w:rsidRDefault="000054D7" w:rsidP="009A3CFC">
      <w:pPr>
        <w:pStyle w:val="Heading3"/>
        <w:tabs>
          <w:tab w:val="left" w:pos="993"/>
        </w:tabs>
        <w:rPr>
          <w:lang w:eastAsia="en-GB"/>
        </w:rPr>
      </w:pPr>
      <w:r>
        <w:rPr>
          <w:lang w:eastAsia="en-GB"/>
        </w:rPr>
        <w:t>2.</w:t>
      </w:r>
      <w:r w:rsidR="00E1347F">
        <w:rPr>
          <w:lang w:eastAsia="en-GB"/>
        </w:rPr>
        <w:t>3</w:t>
      </w:r>
      <w:r>
        <w:rPr>
          <w:lang w:eastAsia="en-GB"/>
        </w:rPr>
        <w:t>.</w:t>
      </w:r>
      <w:r>
        <w:rPr>
          <w:lang w:eastAsia="en-GB"/>
        </w:rPr>
        <w:tab/>
      </w:r>
      <w:r w:rsidRPr="000054D7">
        <w:rPr>
          <w:lang w:eastAsia="en-GB"/>
        </w:rPr>
        <w:t xml:space="preserve">The </w:t>
      </w:r>
      <w:r w:rsidR="005833FE">
        <w:rPr>
          <w:lang w:eastAsia="en-GB"/>
        </w:rPr>
        <w:t xml:space="preserve">identification of SMART WATER being </w:t>
      </w:r>
      <w:r w:rsidR="00A43428">
        <w:rPr>
          <w:lang w:eastAsia="en-GB"/>
        </w:rPr>
        <w:t>allocated.</w:t>
      </w:r>
    </w:p>
    <w:p w14:paraId="072AE03C" w14:textId="77777777" w:rsidR="007D2D7A" w:rsidRDefault="00E1347F" w:rsidP="00611918">
      <w:pPr>
        <w:tabs>
          <w:tab w:val="left" w:pos="993"/>
        </w:tabs>
        <w:ind w:left="993" w:hanging="993"/>
        <w:rPr>
          <w:lang w:eastAsia="en-GB"/>
        </w:rPr>
      </w:pPr>
      <w:r>
        <w:rPr>
          <w:lang w:eastAsia="en-GB"/>
        </w:rPr>
        <w:t>2.3.1</w:t>
      </w:r>
      <w:r w:rsidR="009A3CFC">
        <w:rPr>
          <w:lang w:eastAsia="en-GB"/>
        </w:rPr>
        <w:t>.</w:t>
      </w:r>
      <w:r w:rsidR="000054D7">
        <w:rPr>
          <w:lang w:eastAsia="en-GB"/>
        </w:rPr>
        <w:tab/>
      </w:r>
      <w:r w:rsidR="00611918" w:rsidRPr="00611918">
        <w:rPr>
          <w:lang w:eastAsia="en-GB"/>
        </w:rPr>
        <w:t xml:space="preserve">The deployment of </w:t>
      </w:r>
      <w:proofErr w:type="spellStart"/>
      <w:r w:rsidR="00611918" w:rsidRPr="00611918">
        <w:rPr>
          <w:lang w:eastAsia="en-GB"/>
        </w:rPr>
        <w:t>SmartWater</w:t>
      </w:r>
      <w:proofErr w:type="spellEnd"/>
      <w:r w:rsidR="00611918" w:rsidRPr="00611918">
        <w:rPr>
          <w:lang w:eastAsia="en-GB"/>
        </w:rPr>
        <w:t xml:space="preserve"> and its associate products will be administratively, managed by the Vulnerability Coordinators located in the Police Safeguarding Hub at Grantham Police Station.</w:t>
      </w:r>
      <w:r w:rsidR="00611918">
        <w:rPr>
          <w:lang w:eastAsia="en-GB"/>
        </w:rPr>
        <w:t xml:space="preserve"> </w:t>
      </w:r>
    </w:p>
    <w:p w14:paraId="4B689BA4" w14:textId="288ACE39" w:rsidR="005833FE" w:rsidRDefault="007D2D7A" w:rsidP="00611918">
      <w:pPr>
        <w:tabs>
          <w:tab w:val="left" w:pos="993"/>
        </w:tabs>
        <w:ind w:left="993" w:hanging="993"/>
        <w:rPr>
          <w:lang w:eastAsia="en-GB"/>
        </w:rPr>
      </w:pPr>
      <w:r>
        <w:rPr>
          <w:lang w:eastAsia="en-GB"/>
        </w:rPr>
        <w:t xml:space="preserve">               </w:t>
      </w:r>
      <w:r w:rsidRPr="007D2D7A">
        <w:rPr>
          <w:lang w:eastAsia="en-GB"/>
        </w:rPr>
        <w:t>There are three options that can be considered for deployment.</w:t>
      </w:r>
    </w:p>
    <w:p w14:paraId="0727BE85" w14:textId="7823D0EE" w:rsidR="005833FE" w:rsidRDefault="006A6183" w:rsidP="005833FE">
      <w:pPr>
        <w:pStyle w:val="ListParagraph"/>
        <w:numPr>
          <w:ilvl w:val="0"/>
          <w:numId w:val="26"/>
        </w:numPr>
        <w:tabs>
          <w:tab w:val="left" w:pos="993"/>
        </w:tabs>
        <w:rPr>
          <w:lang w:eastAsia="en-GB"/>
        </w:rPr>
      </w:pPr>
      <w:r>
        <w:rPr>
          <w:lang w:eastAsia="en-GB"/>
        </w:rPr>
        <w:lastRenderedPageBreak/>
        <w:t>Grease -</w:t>
      </w:r>
      <w:r w:rsidR="005833FE">
        <w:rPr>
          <w:lang w:eastAsia="en-GB"/>
        </w:rPr>
        <w:t xml:space="preserve"> This is a waterproof grease which can be used inside or outside of the home to deter entry.</w:t>
      </w:r>
    </w:p>
    <w:p w14:paraId="7FA3E73B" w14:textId="77777777" w:rsidR="0005465F" w:rsidRPr="0005465F" w:rsidRDefault="0005465F" w:rsidP="0005465F">
      <w:pPr>
        <w:pStyle w:val="ListParagraph"/>
        <w:numPr>
          <w:ilvl w:val="0"/>
          <w:numId w:val="26"/>
        </w:numPr>
        <w:rPr>
          <w:lang w:eastAsia="en-GB"/>
        </w:rPr>
      </w:pPr>
      <w:r w:rsidRPr="0005465F">
        <w:rPr>
          <w:lang w:eastAsia="en-GB"/>
        </w:rPr>
        <w:t>SmartTag - This is a spray which can be used within the home or carried and used in public.</w:t>
      </w:r>
    </w:p>
    <w:p w14:paraId="3C25B55F" w14:textId="55058CE9" w:rsidR="0005465F" w:rsidRDefault="00A43428" w:rsidP="00A43428">
      <w:pPr>
        <w:pStyle w:val="ListParagraph"/>
        <w:numPr>
          <w:ilvl w:val="0"/>
          <w:numId w:val="26"/>
        </w:numPr>
        <w:rPr>
          <w:lang w:eastAsia="en-GB"/>
        </w:rPr>
      </w:pPr>
      <w:r w:rsidRPr="00A43428">
        <w:rPr>
          <w:lang w:eastAsia="en-GB"/>
        </w:rPr>
        <w:t>Home packs – This contains marker and stickers identifying SMART WATER in use.</w:t>
      </w:r>
    </w:p>
    <w:p w14:paraId="06E25915" w14:textId="0554B63F" w:rsidR="009D4A21" w:rsidRDefault="00771584" w:rsidP="00771584">
      <w:pPr>
        <w:tabs>
          <w:tab w:val="left" w:pos="993"/>
        </w:tabs>
        <w:ind w:left="993" w:hanging="993"/>
        <w:rPr>
          <w:lang w:eastAsia="en-GB"/>
        </w:rPr>
      </w:pPr>
      <w:r>
        <w:rPr>
          <w:lang w:eastAsia="en-GB"/>
        </w:rPr>
        <w:tab/>
      </w:r>
      <w:proofErr w:type="spellStart"/>
      <w:r w:rsidR="009D4A21" w:rsidRPr="00771584">
        <w:rPr>
          <w:lang w:eastAsia="en-GB"/>
        </w:rPr>
        <w:t>SmartWater</w:t>
      </w:r>
      <w:proofErr w:type="spellEnd"/>
      <w:r w:rsidR="009D4A21">
        <w:rPr>
          <w:lang w:eastAsia="en-GB"/>
        </w:rPr>
        <w:t xml:space="preserve"> deployment will be identified using Niche, which is linked to Guardian. A dedicated Niche Occurrence will be created to manage the deployment and recovery of the relevant product. Niche Flags will be placed on the person at risk and the perpetrators nominal records, indicating that they are subject of a </w:t>
      </w:r>
      <w:proofErr w:type="spellStart"/>
      <w:r w:rsidR="009D4A21">
        <w:rPr>
          <w:lang w:eastAsia="en-GB"/>
        </w:rPr>
        <w:t>SmartWater</w:t>
      </w:r>
      <w:proofErr w:type="spellEnd"/>
      <w:r w:rsidR="009D4A21">
        <w:rPr>
          <w:lang w:eastAsia="en-GB"/>
        </w:rPr>
        <w:t xml:space="preserve"> deployment. The unique identification number of the product will be linked to the Niche record using the Occurrence ID’s (Other).</w:t>
      </w:r>
    </w:p>
    <w:p w14:paraId="10CA43A2" w14:textId="1DE02FB5" w:rsidR="009D4A21" w:rsidRDefault="00771584" w:rsidP="00771584">
      <w:pPr>
        <w:tabs>
          <w:tab w:val="left" w:pos="993"/>
        </w:tabs>
        <w:ind w:left="993" w:hanging="993"/>
        <w:rPr>
          <w:lang w:eastAsia="en-GB"/>
        </w:rPr>
      </w:pPr>
      <w:r>
        <w:rPr>
          <w:lang w:eastAsia="en-GB"/>
        </w:rPr>
        <w:tab/>
      </w:r>
      <w:r w:rsidR="009D4A21">
        <w:rPr>
          <w:lang w:eastAsia="en-GB"/>
        </w:rPr>
        <w:t>The PSH will manage a spread sheet to record deployments and recovery etc.</w:t>
      </w:r>
    </w:p>
    <w:p w14:paraId="5E67E7AF" w14:textId="5E3FF83C" w:rsidR="000054D7" w:rsidRDefault="00E1347F" w:rsidP="00FD4C5F">
      <w:pPr>
        <w:tabs>
          <w:tab w:val="left" w:pos="993"/>
        </w:tabs>
        <w:ind w:left="993" w:hanging="993"/>
        <w:rPr>
          <w:lang w:eastAsia="en-GB"/>
        </w:rPr>
      </w:pPr>
      <w:r>
        <w:rPr>
          <w:lang w:eastAsia="en-GB"/>
        </w:rPr>
        <w:t>2.3</w:t>
      </w:r>
      <w:r w:rsidR="005A65E7">
        <w:rPr>
          <w:lang w:eastAsia="en-GB"/>
        </w:rPr>
        <w:t>.2</w:t>
      </w:r>
      <w:r w:rsidR="009A3CFC">
        <w:rPr>
          <w:lang w:eastAsia="en-GB"/>
        </w:rPr>
        <w:t>.</w:t>
      </w:r>
      <w:r w:rsidR="000054D7">
        <w:rPr>
          <w:lang w:eastAsia="en-GB"/>
        </w:rPr>
        <w:tab/>
        <w:t xml:space="preserve">The </w:t>
      </w:r>
      <w:proofErr w:type="gramStart"/>
      <w:r w:rsidR="000054D7">
        <w:rPr>
          <w:lang w:eastAsia="en-GB"/>
        </w:rPr>
        <w:t>principle</w:t>
      </w:r>
      <w:proofErr w:type="gramEnd"/>
      <w:r w:rsidR="000054D7">
        <w:rPr>
          <w:lang w:eastAsia="en-GB"/>
        </w:rPr>
        <w:t xml:space="preserve"> allocation should be to the highest risk victims of domestic abuse for persons over the age of 1</w:t>
      </w:r>
      <w:r w:rsidR="00BD5973">
        <w:rPr>
          <w:lang w:eastAsia="en-GB"/>
        </w:rPr>
        <w:t>8</w:t>
      </w:r>
      <w:r w:rsidR="000054D7">
        <w:rPr>
          <w:lang w:eastAsia="en-GB"/>
        </w:rPr>
        <w:t xml:space="preserve"> years. However, it will not be limited to such victims recognising that it may be appropriate to support the safeguarding of high-risk individuals in other cases </w:t>
      </w:r>
      <w:proofErr w:type="gramStart"/>
      <w:r w:rsidR="000054D7">
        <w:rPr>
          <w:lang w:eastAsia="en-GB"/>
        </w:rPr>
        <w:t>e.g.</w:t>
      </w:r>
      <w:proofErr w:type="gramEnd"/>
      <w:r w:rsidR="000054D7">
        <w:rPr>
          <w:lang w:eastAsia="en-GB"/>
        </w:rPr>
        <w:t xml:space="preserve"> stalking, witness intimidation etc</w:t>
      </w:r>
      <w:r w:rsidR="00753FE3">
        <w:rPr>
          <w:lang w:eastAsia="en-GB"/>
        </w:rPr>
        <w:t>.</w:t>
      </w:r>
      <w:r w:rsidR="000054D7">
        <w:rPr>
          <w:lang w:eastAsia="en-GB"/>
        </w:rPr>
        <w:t xml:space="preserve"> </w:t>
      </w:r>
    </w:p>
    <w:p w14:paraId="533004B5" w14:textId="336C6EFC" w:rsidR="000054D7" w:rsidRDefault="005A65E7" w:rsidP="00FD4C5F">
      <w:pPr>
        <w:tabs>
          <w:tab w:val="left" w:pos="993"/>
        </w:tabs>
        <w:ind w:left="993" w:hanging="993"/>
        <w:rPr>
          <w:lang w:eastAsia="en-GB"/>
        </w:rPr>
      </w:pPr>
      <w:r>
        <w:rPr>
          <w:lang w:eastAsia="en-GB"/>
        </w:rPr>
        <w:t>2.3.3</w:t>
      </w:r>
      <w:r w:rsidR="009A3CFC">
        <w:rPr>
          <w:lang w:eastAsia="en-GB"/>
        </w:rPr>
        <w:t>.</w:t>
      </w:r>
      <w:r w:rsidR="000054D7">
        <w:rPr>
          <w:lang w:eastAsia="en-GB"/>
        </w:rPr>
        <w:tab/>
        <w:t xml:space="preserve">The rationale for issuing or not issuing a </w:t>
      </w:r>
      <w:r w:rsidR="00753FE3">
        <w:rPr>
          <w:lang w:eastAsia="en-GB"/>
        </w:rPr>
        <w:t>product</w:t>
      </w:r>
      <w:r w:rsidR="000054D7">
        <w:rPr>
          <w:lang w:eastAsia="en-GB"/>
        </w:rPr>
        <w:t xml:space="preserve"> must be recorded within the overall safety plan on NICHE in the first instance. There may be times when the circumstances dictate that this tactic is required where it is not a high-risk case. These circumstances should be reviewed by the relevant PSH office manager</w:t>
      </w:r>
      <w:r w:rsidR="00753FE3">
        <w:rPr>
          <w:lang w:eastAsia="en-GB"/>
        </w:rPr>
        <w:t xml:space="preserve">/ PSH Sgt </w:t>
      </w:r>
      <w:r w:rsidR="000054D7">
        <w:rPr>
          <w:lang w:eastAsia="en-GB"/>
        </w:rPr>
        <w:t>where applicable prior to deployment</w:t>
      </w:r>
      <w:r w:rsidR="00753FE3">
        <w:rPr>
          <w:lang w:eastAsia="en-GB"/>
        </w:rPr>
        <w:t>.</w:t>
      </w:r>
      <w:r w:rsidR="00C24520" w:rsidRPr="00C24520">
        <w:t xml:space="preserve"> </w:t>
      </w:r>
      <w:r w:rsidR="00C24520" w:rsidRPr="00C24520">
        <w:rPr>
          <w:lang w:eastAsia="en-GB"/>
        </w:rPr>
        <w:t xml:space="preserve">The authority also sits with the RIT Inspector/ Sgt’s out of hours. </w:t>
      </w:r>
      <w:r w:rsidR="000054D7">
        <w:rPr>
          <w:lang w:eastAsia="en-GB"/>
        </w:rPr>
        <w:t xml:space="preserve"> To determine suitability around allocation the below areas should be considered as they may void the </w:t>
      </w:r>
      <w:r w:rsidR="00C24520">
        <w:rPr>
          <w:lang w:eastAsia="en-GB"/>
        </w:rPr>
        <w:t>feasibility.</w:t>
      </w:r>
    </w:p>
    <w:p w14:paraId="74316F50" w14:textId="5DDF81F2" w:rsidR="000054D7" w:rsidRDefault="000054D7" w:rsidP="00FD4C5F">
      <w:pPr>
        <w:pStyle w:val="ListParagraph"/>
        <w:numPr>
          <w:ilvl w:val="0"/>
          <w:numId w:val="19"/>
        </w:numPr>
        <w:tabs>
          <w:tab w:val="left" w:pos="993"/>
        </w:tabs>
        <w:ind w:left="1843"/>
        <w:rPr>
          <w:lang w:eastAsia="en-GB"/>
        </w:rPr>
      </w:pPr>
      <w:r>
        <w:rPr>
          <w:lang w:eastAsia="en-GB"/>
        </w:rPr>
        <w:t>Is the vulnerable person engaging with the police and partners?</w:t>
      </w:r>
    </w:p>
    <w:p w14:paraId="27884EEB" w14:textId="71D75751" w:rsidR="000054D7" w:rsidRDefault="00D81776" w:rsidP="00FD4C5F">
      <w:pPr>
        <w:tabs>
          <w:tab w:val="left" w:pos="993"/>
        </w:tabs>
        <w:ind w:left="993" w:hanging="993"/>
        <w:rPr>
          <w:lang w:eastAsia="en-GB"/>
        </w:rPr>
      </w:pPr>
      <w:r>
        <w:rPr>
          <w:lang w:eastAsia="en-GB"/>
        </w:rPr>
        <w:t>2.3.4</w:t>
      </w:r>
      <w:r w:rsidR="009A3CFC">
        <w:rPr>
          <w:lang w:eastAsia="en-GB"/>
        </w:rPr>
        <w:t>.</w:t>
      </w:r>
      <w:r w:rsidR="000054D7">
        <w:rPr>
          <w:lang w:eastAsia="en-GB"/>
        </w:rPr>
        <w:tab/>
        <w:t xml:space="preserve">The individual MUST be engaged with the police or partner agencies prior to consideration being made to authorise the </w:t>
      </w:r>
      <w:r w:rsidR="00753FE3">
        <w:rPr>
          <w:lang w:eastAsia="en-GB"/>
        </w:rPr>
        <w:t xml:space="preserve">allocated resource to </w:t>
      </w:r>
      <w:r w:rsidR="000054D7">
        <w:rPr>
          <w:lang w:eastAsia="en-GB"/>
        </w:rPr>
        <w:t xml:space="preserve">an </w:t>
      </w:r>
      <w:r w:rsidR="008804E3">
        <w:rPr>
          <w:lang w:eastAsia="en-GB"/>
        </w:rPr>
        <w:t>individual</w:t>
      </w:r>
      <w:r w:rsidR="00753FE3">
        <w:rPr>
          <w:lang w:eastAsia="en-GB"/>
        </w:rPr>
        <w:t>.</w:t>
      </w:r>
    </w:p>
    <w:p w14:paraId="334854C7" w14:textId="3E345BC4" w:rsidR="000054D7" w:rsidRDefault="000054D7" w:rsidP="00FD4C5F">
      <w:pPr>
        <w:tabs>
          <w:tab w:val="left" w:pos="993"/>
        </w:tabs>
        <w:ind w:left="993" w:hanging="993"/>
        <w:rPr>
          <w:lang w:eastAsia="en-GB"/>
        </w:rPr>
      </w:pPr>
      <w:r>
        <w:rPr>
          <w:lang w:eastAsia="en-GB"/>
        </w:rPr>
        <w:lastRenderedPageBreak/>
        <w:tab/>
        <w:t xml:space="preserve">Their details will need to be recorded and consent </w:t>
      </w:r>
      <w:r w:rsidR="008804E3">
        <w:rPr>
          <w:lang w:eastAsia="en-GB"/>
        </w:rPr>
        <w:t>obtained,</w:t>
      </w:r>
      <w:r>
        <w:rPr>
          <w:lang w:eastAsia="en-GB"/>
        </w:rPr>
        <w:t xml:space="preserve"> and they need to understand that </w:t>
      </w:r>
      <w:r w:rsidR="00753FE3">
        <w:rPr>
          <w:lang w:eastAsia="en-GB"/>
        </w:rPr>
        <w:t>the deployment of the product must be as a deterrent and in self-defence</w:t>
      </w:r>
      <w:r>
        <w:rPr>
          <w:lang w:eastAsia="en-GB"/>
        </w:rPr>
        <w:t>.</w:t>
      </w:r>
      <w:r w:rsidR="00CD1976">
        <w:rPr>
          <w:lang w:eastAsia="en-GB"/>
        </w:rPr>
        <w:t xml:space="preserve"> When </w:t>
      </w:r>
      <w:r w:rsidR="00753FE3">
        <w:rPr>
          <w:lang w:eastAsia="en-GB"/>
        </w:rPr>
        <w:t>deployed the identifying marker will be determined through laboratory analysis. The deployment of the product will</w:t>
      </w:r>
      <w:r w:rsidR="00CD1976">
        <w:rPr>
          <w:lang w:eastAsia="en-GB"/>
        </w:rPr>
        <w:t xml:space="preserve"> </w:t>
      </w:r>
      <w:r w:rsidR="007A3CBB">
        <w:rPr>
          <w:lang w:eastAsia="en-GB"/>
        </w:rPr>
        <w:t>i</w:t>
      </w:r>
      <w:r w:rsidR="00CD1976">
        <w:rPr>
          <w:lang w:eastAsia="en-GB"/>
        </w:rPr>
        <w:t>nvoke the required response fr</w:t>
      </w:r>
      <w:r w:rsidR="00753FE3">
        <w:rPr>
          <w:lang w:eastAsia="en-GB"/>
        </w:rPr>
        <w:t>o</w:t>
      </w:r>
      <w:r w:rsidR="00CD1976">
        <w:rPr>
          <w:lang w:eastAsia="en-GB"/>
        </w:rPr>
        <w:t>m the local force</w:t>
      </w:r>
      <w:r w:rsidR="00753FE3">
        <w:rPr>
          <w:lang w:eastAsia="en-GB"/>
        </w:rPr>
        <w:t xml:space="preserve"> determined by their vulnerability</w:t>
      </w:r>
      <w:r w:rsidR="00CD1976">
        <w:rPr>
          <w:lang w:eastAsia="en-GB"/>
        </w:rPr>
        <w:t xml:space="preserve">. </w:t>
      </w:r>
    </w:p>
    <w:p w14:paraId="78E9341A" w14:textId="6CB88EAB" w:rsidR="000054D7" w:rsidRDefault="000054D7" w:rsidP="00FD4C5F">
      <w:pPr>
        <w:tabs>
          <w:tab w:val="left" w:pos="993"/>
        </w:tabs>
        <w:ind w:left="993" w:hanging="993"/>
        <w:rPr>
          <w:lang w:eastAsia="en-GB"/>
        </w:rPr>
      </w:pPr>
      <w:r>
        <w:rPr>
          <w:lang w:eastAsia="en-GB"/>
        </w:rPr>
        <w:tab/>
        <w:t xml:space="preserve">If this is not in </w:t>
      </w:r>
      <w:r w:rsidR="008804E3">
        <w:rPr>
          <w:lang w:eastAsia="en-GB"/>
        </w:rPr>
        <w:t>place,</w:t>
      </w:r>
      <w:r>
        <w:rPr>
          <w:lang w:eastAsia="en-GB"/>
        </w:rPr>
        <w:t xml:space="preserve"> then allocation and deployment will not be suitable to this individual.</w:t>
      </w:r>
    </w:p>
    <w:p w14:paraId="2580B32C" w14:textId="1F186774" w:rsidR="000054D7" w:rsidRDefault="000054D7" w:rsidP="00FD4C5F">
      <w:pPr>
        <w:pStyle w:val="ListParagraph"/>
        <w:numPr>
          <w:ilvl w:val="0"/>
          <w:numId w:val="19"/>
        </w:numPr>
        <w:tabs>
          <w:tab w:val="left" w:pos="993"/>
        </w:tabs>
        <w:ind w:left="1843"/>
        <w:rPr>
          <w:lang w:eastAsia="en-GB"/>
        </w:rPr>
      </w:pPr>
      <w:r>
        <w:rPr>
          <w:lang w:eastAsia="en-GB"/>
        </w:rPr>
        <w:t xml:space="preserve">Does the vulnerable person have the capacity to understand what the </w:t>
      </w:r>
      <w:r w:rsidR="00753FE3">
        <w:rPr>
          <w:lang w:eastAsia="en-GB"/>
        </w:rPr>
        <w:t>product</w:t>
      </w:r>
      <w:r>
        <w:rPr>
          <w:lang w:eastAsia="en-GB"/>
        </w:rPr>
        <w:t xml:space="preserve"> is and </w:t>
      </w:r>
      <w:r w:rsidR="00753FE3">
        <w:rPr>
          <w:lang w:eastAsia="en-GB"/>
        </w:rPr>
        <w:t>understand the implication of a false deployment against another</w:t>
      </w:r>
      <w:r>
        <w:rPr>
          <w:lang w:eastAsia="en-GB"/>
        </w:rPr>
        <w:t>?</w:t>
      </w:r>
    </w:p>
    <w:p w14:paraId="703E8E3D" w14:textId="21B30A84" w:rsidR="001A020E" w:rsidRDefault="000054D7" w:rsidP="00FD4C5F">
      <w:pPr>
        <w:tabs>
          <w:tab w:val="left" w:pos="993"/>
        </w:tabs>
        <w:ind w:left="993" w:hanging="993"/>
        <w:rPr>
          <w:lang w:eastAsia="en-GB"/>
        </w:rPr>
      </w:pPr>
      <w:r>
        <w:rPr>
          <w:lang w:eastAsia="en-GB"/>
        </w:rPr>
        <w:tab/>
        <w:t xml:space="preserve">If </w:t>
      </w:r>
      <w:r w:rsidR="008804E3">
        <w:rPr>
          <w:lang w:eastAsia="en-GB"/>
        </w:rPr>
        <w:t>not,</w:t>
      </w:r>
      <w:r>
        <w:rPr>
          <w:lang w:eastAsia="en-GB"/>
        </w:rPr>
        <w:t xml:space="preserve"> it will not be suitable to allocate in this circumstance.</w:t>
      </w:r>
      <w:r w:rsidR="007A3CBB">
        <w:rPr>
          <w:lang w:eastAsia="en-GB"/>
        </w:rPr>
        <w:t xml:space="preserve"> </w:t>
      </w:r>
      <w:r w:rsidR="00BD5973">
        <w:rPr>
          <w:lang w:eastAsia="en-GB"/>
        </w:rPr>
        <w:t>Those victims where English is not their first language</w:t>
      </w:r>
      <w:r w:rsidR="007A3CBB">
        <w:rPr>
          <w:lang w:eastAsia="en-GB"/>
        </w:rPr>
        <w:t xml:space="preserve"> will be advised of the service appropriately to ensure they understand how it works and can utilise the </w:t>
      </w:r>
      <w:r w:rsidR="00BD5973">
        <w:rPr>
          <w:lang w:eastAsia="en-GB"/>
        </w:rPr>
        <w:t>product lawfully</w:t>
      </w:r>
      <w:r w:rsidR="007A3CBB">
        <w:rPr>
          <w:lang w:eastAsia="en-GB"/>
        </w:rPr>
        <w:t>.</w:t>
      </w:r>
    </w:p>
    <w:p w14:paraId="4EA2B56A" w14:textId="6D3DAB72" w:rsidR="00FB0F2D" w:rsidRDefault="00FB0F2D" w:rsidP="009A3CFC">
      <w:pPr>
        <w:pStyle w:val="Heading3"/>
        <w:tabs>
          <w:tab w:val="left" w:pos="993"/>
        </w:tabs>
        <w:rPr>
          <w:lang w:eastAsia="en-GB"/>
        </w:rPr>
      </w:pPr>
      <w:r>
        <w:rPr>
          <w:lang w:eastAsia="en-GB"/>
        </w:rPr>
        <w:t>2.4</w:t>
      </w:r>
      <w:r w:rsidR="009A3CFC">
        <w:rPr>
          <w:lang w:eastAsia="en-GB"/>
        </w:rPr>
        <w:t>.</w:t>
      </w:r>
      <w:r w:rsidR="009A3CFC">
        <w:rPr>
          <w:lang w:eastAsia="en-GB"/>
        </w:rPr>
        <w:tab/>
      </w:r>
      <w:r w:rsidRPr="00FB0F2D">
        <w:rPr>
          <w:lang w:eastAsia="en-GB"/>
        </w:rPr>
        <w:t xml:space="preserve">Where a decision is made to withdraw the </w:t>
      </w:r>
      <w:r w:rsidR="00753FE3">
        <w:rPr>
          <w:lang w:eastAsia="en-GB"/>
        </w:rPr>
        <w:t>product</w:t>
      </w:r>
      <w:r>
        <w:rPr>
          <w:lang w:eastAsia="en-GB"/>
        </w:rPr>
        <w:t>.</w:t>
      </w:r>
    </w:p>
    <w:p w14:paraId="5CDE9820" w14:textId="71E71957" w:rsidR="00FB0F2D" w:rsidRDefault="004A7536" w:rsidP="00FD4C5F">
      <w:pPr>
        <w:tabs>
          <w:tab w:val="left" w:pos="993"/>
        </w:tabs>
        <w:ind w:left="993" w:hanging="993"/>
        <w:rPr>
          <w:lang w:eastAsia="en-GB"/>
        </w:rPr>
      </w:pPr>
      <w:r w:rsidRPr="00CA215D">
        <w:rPr>
          <w:lang w:eastAsia="en-GB"/>
        </w:rPr>
        <w:t>2.4.1</w:t>
      </w:r>
      <w:r w:rsidR="009A3CFC">
        <w:rPr>
          <w:lang w:eastAsia="en-GB"/>
        </w:rPr>
        <w:t>.</w:t>
      </w:r>
      <w:r w:rsidR="00CA215D">
        <w:rPr>
          <w:b/>
          <w:bCs/>
          <w:lang w:eastAsia="en-GB"/>
        </w:rPr>
        <w:t xml:space="preserve">       </w:t>
      </w:r>
      <w:r w:rsidR="00CA215D" w:rsidRPr="00CA215D">
        <w:rPr>
          <w:lang w:eastAsia="en-GB"/>
        </w:rPr>
        <w:t xml:space="preserve">Where a decision is made to withdraw the </w:t>
      </w:r>
      <w:r w:rsidR="00BD5973">
        <w:rPr>
          <w:lang w:eastAsia="en-GB"/>
        </w:rPr>
        <w:t>product</w:t>
      </w:r>
      <w:r w:rsidR="00CA215D" w:rsidRPr="00CA215D">
        <w:rPr>
          <w:lang w:eastAsia="en-GB"/>
        </w:rPr>
        <w:t xml:space="preserve">, the rationale for this must be recorded within the OEL </w:t>
      </w:r>
      <w:r w:rsidR="00BD5973">
        <w:rPr>
          <w:lang w:eastAsia="en-GB"/>
        </w:rPr>
        <w:t>on</w:t>
      </w:r>
      <w:r w:rsidR="00CA215D" w:rsidRPr="00CA215D">
        <w:rPr>
          <w:lang w:eastAsia="en-GB"/>
        </w:rPr>
        <w:t xml:space="preserve"> NICHE. The </w:t>
      </w:r>
      <w:r w:rsidR="00753FE3">
        <w:rPr>
          <w:lang w:eastAsia="en-GB"/>
        </w:rPr>
        <w:t>PSH</w:t>
      </w:r>
      <w:r w:rsidR="00CA215D" w:rsidRPr="00CA215D">
        <w:rPr>
          <w:lang w:eastAsia="en-GB"/>
        </w:rPr>
        <w:t xml:space="preserve"> must be notified to </w:t>
      </w:r>
      <w:r w:rsidR="00BD5973">
        <w:rPr>
          <w:lang w:eastAsia="en-GB"/>
        </w:rPr>
        <w:t xml:space="preserve">ensure </w:t>
      </w:r>
      <w:r w:rsidR="00CA215D" w:rsidRPr="00CA215D">
        <w:rPr>
          <w:lang w:eastAsia="en-GB"/>
        </w:rPr>
        <w:t>remov</w:t>
      </w:r>
      <w:r w:rsidR="00BD5973">
        <w:rPr>
          <w:lang w:eastAsia="en-GB"/>
        </w:rPr>
        <w:t>al of</w:t>
      </w:r>
      <w:r w:rsidR="00CA215D" w:rsidRPr="00CA215D">
        <w:rPr>
          <w:lang w:eastAsia="en-GB"/>
        </w:rPr>
        <w:t xml:space="preserve"> the </w:t>
      </w:r>
      <w:r w:rsidR="00753FE3">
        <w:rPr>
          <w:lang w:eastAsia="en-GB"/>
        </w:rPr>
        <w:t>product and associated items from the allocated person</w:t>
      </w:r>
      <w:r w:rsidR="00CA215D" w:rsidRPr="00CA215D">
        <w:rPr>
          <w:lang w:eastAsia="en-GB"/>
        </w:rPr>
        <w:t>.</w:t>
      </w:r>
    </w:p>
    <w:p w14:paraId="0AABD0E5" w14:textId="3535E607" w:rsidR="00CA215D" w:rsidRDefault="00CA215D" w:rsidP="00FD4C5F">
      <w:pPr>
        <w:tabs>
          <w:tab w:val="left" w:pos="993"/>
        </w:tabs>
        <w:ind w:left="993" w:hanging="993"/>
        <w:rPr>
          <w:lang w:eastAsia="en-GB"/>
        </w:rPr>
      </w:pPr>
      <w:r w:rsidRPr="00CA215D">
        <w:rPr>
          <w:lang w:eastAsia="en-GB"/>
        </w:rPr>
        <w:t>2.4.2</w:t>
      </w:r>
      <w:r w:rsidR="009A3CFC">
        <w:rPr>
          <w:b/>
          <w:bCs/>
          <w:lang w:eastAsia="en-GB"/>
        </w:rPr>
        <w:t>.</w:t>
      </w:r>
      <w:r>
        <w:rPr>
          <w:b/>
          <w:bCs/>
          <w:lang w:eastAsia="en-GB"/>
        </w:rPr>
        <w:t xml:space="preserve">      </w:t>
      </w:r>
      <w:r w:rsidR="00753FE3" w:rsidRPr="00753FE3">
        <w:rPr>
          <w:lang w:eastAsia="en-GB"/>
        </w:rPr>
        <w:t>SMART WATER</w:t>
      </w:r>
      <w:r w:rsidR="00753FE3">
        <w:rPr>
          <w:lang w:eastAsia="en-GB"/>
        </w:rPr>
        <w:t xml:space="preserve"> products </w:t>
      </w:r>
      <w:r w:rsidRPr="00CA215D">
        <w:rPr>
          <w:lang w:eastAsia="en-GB"/>
        </w:rPr>
        <w:t xml:space="preserve">are a finite resource for the Force, and operational judgement will always be the over-riding factor in determining whether to issue or retrieve/withdraw them. PSH SPOCs will be responsible for the decision to withdraw </w:t>
      </w:r>
      <w:r w:rsidR="00753FE3">
        <w:rPr>
          <w:lang w:eastAsia="en-GB"/>
        </w:rPr>
        <w:t>the product</w:t>
      </w:r>
      <w:r w:rsidRPr="00CA215D">
        <w:rPr>
          <w:lang w:eastAsia="en-GB"/>
        </w:rPr>
        <w:t xml:space="preserve"> liaising with the case officer where appropriate.</w:t>
      </w:r>
    </w:p>
    <w:p w14:paraId="21BFCA95" w14:textId="6FC65FD9" w:rsidR="00CA215D" w:rsidRDefault="00CA215D" w:rsidP="00FD4C5F">
      <w:pPr>
        <w:tabs>
          <w:tab w:val="left" w:pos="993"/>
        </w:tabs>
        <w:ind w:left="993" w:hanging="993"/>
        <w:rPr>
          <w:lang w:eastAsia="en-GB"/>
        </w:rPr>
      </w:pPr>
      <w:r w:rsidRPr="00CA215D">
        <w:rPr>
          <w:lang w:eastAsia="en-GB"/>
        </w:rPr>
        <w:t>2.4.3</w:t>
      </w:r>
      <w:r w:rsidR="009A3CFC">
        <w:rPr>
          <w:lang w:eastAsia="en-GB"/>
        </w:rPr>
        <w:t>.</w:t>
      </w:r>
      <w:r>
        <w:rPr>
          <w:lang w:eastAsia="en-GB"/>
        </w:rPr>
        <w:t xml:space="preserve">      </w:t>
      </w:r>
      <w:r w:rsidRPr="00CA215D">
        <w:rPr>
          <w:lang w:eastAsia="en-GB"/>
        </w:rPr>
        <w:t xml:space="preserve">The guidance below indicates some circumstances in which it may be appropriate to withdraw </w:t>
      </w:r>
      <w:r w:rsidR="00A95A0A">
        <w:rPr>
          <w:lang w:eastAsia="en-GB"/>
        </w:rPr>
        <w:t>SMART WATER</w:t>
      </w:r>
      <w:r w:rsidRPr="00CA215D">
        <w:rPr>
          <w:lang w:eastAsia="en-GB"/>
        </w:rPr>
        <w:t xml:space="preserve"> from the person to whom it has been authorised.  These may include circumstances in which the user does not wish to return the </w:t>
      </w:r>
      <w:r w:rsidR="00A95A0A">
        <w:rPr>
          <w:lang w:eastAsia="en-GB"/>
        </w:rPr>
        <w:t>product</w:t>
      </w:r>
      <w:r w:rsidRPr="00CA215D">
        <w:rPr>
          <w:lang w:eastAsia="en-GB"/>
        </w:rPr>
        <w:t xml:space="preserve">, or indeed while their risk level remains high.  </w:t>
      </w:r>
    </w:p>
    <w:p w14:paraId="33F84A20" w14:textId="285808B6" w:rsidR="00CA215D" w:rsidRDefault="005500C0" w:rsidP="009A3CFC">
      <w:pPr>
        <w:pStyle w:val="Heading3"/>
        <w:tabs>
          <w:tab w:val="left" w:pos="993"/>
        </w:tabs>
        <w:ind w:left="990" w:hanging="990"/>
        <w:rPr>
          <w:lang w:eastAsia="en-GB"/>
        </w:rPr>
      </w:pPr>
      <w:r w:rsidRPr="009A3CFC">
        <w:rPr>
          <w:lang w:eastAsia="en-GB"/>
        </w:rPr>
        <w:lastRenderedPageBreak/>
        <w:t>2.5</w:t>
      </w:r>
      <w:r w:rsidR="009A3CFC">
        <w:rPr>
          <w:lang w:eastAsia="en-GB"/>
        </w:rPr>
        <w:t>.</w:t>
      </w:r>
      <w:r w:rsidR="009A3CFC">
        <w:rPr>
          <w:lang w:eastAsia="en-GB"/>
        </w:rPr>
        <w:tab/>
      </w:r>
      <w:r w:rsidRPr="009A3CFC">
        <w:rPr>
          <w:lang w:eastAsia="en-GB"/>
        </w:rPr>
        <w:t xml:space="preserve">Factors when considering the retrieval of an authorised </w:t>
      </w:r>
      <w:r w:rsidR="00A95A0A" w:rsidRPr="009A3CFC">
        <w:rPr>
          <w:lang w:eastAsia="en-GB"/>
        </w:rPr>
        <w:t>product</w:t>
      </w:r>
      <w:r w:rsidRPr="009A3CFC">
        <w:rPr>
          <w:lang w:eastAsia="en-GB"/>
        </w:rPr>
        <w:t xml:space="preserve"> may</w:t>
      </w:r>
      <w:r w:rsidRPr="005500C0">
        <w:rPr>
          <w:lang w:eastAsia="en-GB"/>
        </w:rPr>
        <w:t xml:space="preserve"> include.</w:t>
      </w:r>
      <w:r w:rsidR="001654FD">
        <w:rPr>
          <w:lang w:eastAsia="en-GB"/>
        </w:rPr>
        <w:t xml:space="preserve">                            </w:t>
      </w:r>
    </w:p>
    <w:p w14:paraId="55AAD2B5" w14:textId="2CE93D31" w:rsidR="00237A96" w:rsidRPr="00237A96" w:rsidRDefault="00237A96" w:rsidP="009A3CFC">
      <w:pPr>
        <w:pStyle w:val="ListParagraph"/>
        <w:numPr>
          <w:ilvl w:val="0"/>
          <w:numId w:val="19"/>
        </w:numPr>
        <w:tabs>
          <w:tab w:val="left" w:pos="993"/>
        </w:tabs>
        <w:ind w:left="1843"/>
        <w:rPr>
          <w:lang w:eastAsia="en-GB"/>
        </w:rPr>
      </w:pPr>
      <w:r w:rsidRPr="00237A96">
        <w:rPr>
          <w:lang w:eastAsia="en-GB"/>
        </w:rPr>
        <w:t xml:space="preserve">Changes in circumstances have reduced the risk to the individual to a level suggesting </w:t>
      </w:r>
      <w:r w:rsidR="00A95A0A">
        <w:rPr>
          <w:lang w:eastAsia="en-GB"/>
        </w:rPr>
        <w:t>SMART WATER</w:t>
      </w:r>
      <w:r w:rsidRPr="00237A96">
        <w:rPr>
          <w:lang w:eastAsia="en-GB"/>
        </w:rPr>
        <w:t xml:space="preserve"> is no</w:t>
      </w:r>
      <w:r w:rsidR="00A95A0A">
        <w:rPr>
          <w:lang w:eastAsia="en-GB"/>
        </w:rPr>
        <w:t xml:space="preserve"> longer</w:t>
      </w:r>
      <w:r w:rsidRPr="00237A96">
        <w:rPr>
          <w:lang w:eastAsia="en-GB"/>
        </w:rPr>
        <w:t xml:space="preserve"> required</w:t>
      </w:r>
      <w:r w:rsidR="00A95A0A">
        <w:rPr>
          <w:lang w:eastAsia="en-GB"/>
        </w:rPr>
        <w:t>/ appropriate</w:t>
      </w:r>
      <w:r w:rsidRPr="00237A96">
        <w:rPr>
          <w:lang w:eastAsia="en-GB"/>
        </w:rPr>
        <w:t xml:space="preserve"> (</w:t>
      </w:r>
      <w:proofErr w:type="gramStart"/>
      <w:r w:rsidRPr="00237A96">
        <w:rPr>
          <w:lang w:eastAsia="en-GB"/>
        </w:rPr>
        <w:t>i.e.</w:t>
      </w:r>
      <w:proofErr w:type="gramEnd"/>
      <w:r w:rsidRPr="00237A96">
        <w:rPr>
          <w:lang w:eastAsia="en-GB"/>
        </w:rPr>
        <w:t xml:space="preserve"> no longer high-risk).  </w:t>
      </w:r>
    </w:p>
    <w:p w14:paraId="156244B8" w14:textId="77777777" w:rsidR="00237A96" w:rsidRPr="00237A96" w:rsidRDefault="00237A96" w:rsidP="009A3CFC">
      <w:pPr>
        <w:pStyle w:val="ListParagraph"/>
        <w:numPr>
          <w:ilvl w:val="0"/>
          <w:numId w:val="19"/>
        </w:numPr>
        <w:tabs>
          <w:tab w:val="left" w:pos="993"/>
        </w:tabs>
        <w:ind w:left="1843"/>
        <w:rPr>
          <w:lang w:eastAsia="en-GB"/>
        </w:rPr>
      </w:pPr>
      <w:r w:rsidRPr="00237A96">
        <w:rPr>
          <w:lang w:eastAsia="en-GB"/>
        </w:rPr>
        <w:t xml:space="preserve">The individual is now cohabiting with the offender, rendering the existence of a ‘sensitive policing application’ inappropriate.  </w:t>
      </w:r>
    </w:p>
    <w:p w14:paraId="75F30DF3" w14:textId="2D6BFD20" w:rsidR="00237A96" w:rsidRPr="00237A96" w:rsidRDefault="00237A96" w:rsidP="009A3CFC">
      <w:pPr>
        <w:pStyle w:val="ListParagraph"/>
        <w:numPr>
          <w:ilvl w:val="0"/>
          <w:numId w:val="19"/>
        </w:numPr>
        <w:tabs>
          <w:tab w:val="left" w:pos="993"/>
        </w:tabs>
        <w:ind w:left="1843"/>
        <w:rPr>
          <w:lang w:eastAsia="en-GB"/>
        </w:rPr>
      </w:pPr>
      <w:r w:rsidRPr="00237A96">
        <w:rPr>
          <w:lang w:eastAsia="en-GB"/>
        </w:rPr>
        <w:t xml:space="preserve">There is evidence of the individual misusing the </w:t>
      </w:r>
      <w:r w:rsidR="00A95A0A">
        <w:rPr>
          <w:lang w:eastAsia="en-GB"/>
        </w:rPr>
        <w:t>product and</w:t>
      </w:r>
      <w:r w:rsidRPr="00237A96">
        <w:rPr>
          <w:lang w:eastAsia="en-GB"/>
        </w:rPr>
        <w:t xml:space="preserve"> application.  </w:t>
      </w:r>
    </w:p>
    <w:p w14:paraId="086B0B95" w14:textId="69B86AB3" w:rsidR="00237A96" w:rsidRPr="00237A96" w:rsidRDefault="00237A96" w:rsidP="009A3CFC">
      <w:pPr>
        <w:pStyle w:val="ListParagraph"/>
        <w:numPr>
          <w:ilvl w:val="0"/>
          <w:numId w:val="19"/>
        </w:numPr>
        <w:tabs>
          <w:tab w:val="left" w:pos="993"/>
        </w:tabs>
        <w:ind w:left="1843"/>
        <w:rPr>
          <w:lang w:eastAsia="en-GB"/>
        </w:rPr>
      </w:pPr>
      <w:r w:rsidRPr="00237A96">
        <w:rPr>
          <w:lang w:eastAsia="en-GB"/>
        </w:rPr>
        <w:t xml:space="preserve">The individual has disengaged with the police and/or partner agencies, suggesting the possibility that the individual may be unlikely to fulfil their responsibilities in relation to </w:t>
      </w:r>
      <w:r w:rsidR="00A95A0A">
        <w:rPr>
          <w:lang w:eastAsia="en-GB"/>
        </w:rPr>
        <w:t>SMART WATER and lawful use</w:t>
      </w:r>
      <w:r w:rsidRPr="00237A96">
        <w:rPr>
          <w:lang w:eastAsia="en-GB"/>
        </w:rPr>
        <w:t xml:space="preserve">. </w:t>
      </w:r>
    </w:p>
    <w:p w14:paraId="32A0E369" w14:textId="6DE3C24D" w:rsidR="001654FD" w:rsidRPr="00CA215D" w:rsidRDefault="00A442F2" w:rsidP="009A3CFC">
      <w:pPr>
        <w:tabs>
          <w:tab w:val="left" w:pos="993"/>
        </w:tabs>
        <w:ind w:left="993" w:hanging="993"/>
        <w:rPr>
          <w:lang w:eastAsia="en-GB"/>
        </w:rPr>
      </w:pPr>
      <w:r>
        <w:rPr>
          <w:lang w:eastAsia="en-GB"/>
        </w:rPr>
        <w:t>2.5.1</w:t>
      </w:r>
      <w:r w:rsidR="009A3CFC">
        <w:rPr>
          <w:lang w:eastAsia="en-GB"/>
        </w:rPr>
        <w:t>.</w:t>
      </w:r>
      <w:r w:rsidR="00237A96" w:rsidRPr="00237A96">
        <w:rPr>
          <w:lang w:eastAsia="en-GB"/>
        </w:rPr>
        <w:tab/>
        <w:t xml:space="preserve">This is not an exhaustive or definitive list and operational judgement must be exercised in every case.  The </w:t>
      </w:r>
      <w:r w:rsidR="00C63A28" w:rsidRPr="00C63A28">
        <w:rPr>
          <w:lang w:eastAsia="en-GB"/>
        </w:rPr>
        <w:t>recovered</w:t>
      </w:r>
      <w:r w:rsidR="00237A96" w:rsidRPr="00237A96">
        <w:rPr>
          <w:lang w:eastAsia="en-GB"/>
        </w:rPr>
        <w:t xml:space="preserve"> </w:t>
      </w:r>
      <w:r w:rsidR="00A95A0A">
        <w:rPr>
          <w:lang w:eastAsia="en-GB"/>
        </w:rPr>
        <w:t xml:space="preserve">product </w:t>
      </w:r>
      <w:r w:rsidR="00237A96" w:rsidRPr="00237A96">
        <w:rPr>
          <w:lang w:eastAsia="en-GB"/>
        </w:rPr>
        <w:t xml:space="preserve">should be checked for any defects or damage and recirculated within the stock of </w:t>
      </w:r>
      <w:r w:rsidR="00AD2DB1" w:rsidRPr="00AD2DB1">
        <w:rPr>
          <w:lang w:eastAsia="en-GB"/>
        </w:rPr>
        <w:t>available products.</w:t>
      </w:r>
    </w:p>
    <w:p w14:paraId="2AE3B8DE" w14:textId="0767CE06" w:rsidR="001A020E" w:rsidRDefault="001A020E" w:rsidP="00FD4C5F">
      <w:pPr>
        <w:pStyle w:val="Heading2"/>
        <w:tabs>
          <w:tab w:val="left" w:pos="993"/>
        </w:tabs>
        <w:ind w:left="993" w:hanging="993"/>
        <w:rPr>
          <w:lang w:eastAsia="en-GB"/>
        </w:rPr>
      </w:pPr>
      <w:r>
        <w:rPr>
          <w:lang w:eastAsia="en-GB"/>
        </w:rPr>
        <w:t xml:space="preserve">3. </w:t>
      </w:r>
      <w:r w:rsidR="0051530F">
        <w:rPr>
          <w:lang w:eastAsia="en-GB"/>
        </w:rPr>
        <w:tab/>
      </w:r>
      <w:r>
        <w:rPr>
          <w:lang w:eastAsia="en-GB"/>
        </w:rPr>
        <w:t>Other related documents and appendices</w:t>
      </w:r>
    </w:p>
    <w:p w14:paraId="33B14768" w14:textId="4032A889" w:rsidR="00A95A0A" w:rsidRDefault="009A3CFC" w:rsidP="009A3CFC">
      <w:pPr>
        <w:pStyle w:val="ListParagraph"/>
        <w:numPr>
          <w:ilvl w:val="0"/>
          <w:numId w:val="19"/>
        </w:numPr>
        <w:tabs>
          <w:tab w:val="left" w:pos="993"/>
        </w:tabs>
        <w:ind w:left="1843"/>
        <w:rPr>
          <w:lang w:eastAsia="en-GB"/>
        </w:rPr>
      </w:pPr>
      <w:r>
        <w:rPr>
          <w:lang w:eastAsia="en-GB"/>
        </w:rPr>
        <w:t>A</w:t>
      </w:r>
      <w:r w:rsidR="00342F37" w:rsidRPr="00342F37">
        <w:rPr>
          <w:lang w:eastAsia="en-GB"/>
        </w:rPr>
        <w:t xml:space="preserve">ppendix A </w:t>
      </w:r>
      <w:r w:rsidR="00BD5973">
        <w:rPr>
          <w:lang w:eastAsia="en-GB"/>
        </w:rPr>
        <w:t>–</w:t>
      </w:r>
      <w:r w:rsidR="00342F37" w:rsidRPr="00342F37">
        <w:rPr>
          <w:lang w:eastAsia="en-GB"/>
        </w:rPr>
        <w:t xml:space="preserve"> </w:t>
      </w:r>
      <w:r w:rsidR="00BD5973">
        <w:rPr>
          <w:lang w:eastAsia="en-GB"/>
        </w:rPr>
        <w:t xml:space="preserve">Notification of deployment form </w:t>
      </w:r>
    </w:p>
    <w:p w14:paraId="7953251F" w14:textId="103ED9EF" w:rsidR="00A95A0A" w:rsidRDefault="001432D2" w:rsidP="009A3CFC">
      <w:pPr>
        <w:pStyle w:val="ListParagraph"/>
        <w:numPr>
          <w:ilvl w:val="0"/>
          <w:numId w:val="19"/>
        </w:numPr>
        <w:tabs>
          <w:tab w:val="left" w:pos="993"/>
        </w:tabs>
        <w:ind w:left="1843"/>
        <w:rPr>
          <w:lang w:eastAsia="en-GB"/>
        </w:rPr>
      </w:pPr>
      <w:r w:rsidRPr="001432D2">
        <w:rPr>
          <w:lang w:eastAsia="en-GB"/>
        </w:rPr>
        <w:t>Appendix B –</w:t>
      </w:r>
      <w:r w:rsidR="006D0DB8">
        <w:rPr>
          <w:lang w:eastAsia="en-GB"/>
        </w:rPr>
        <w:t xml:space="preserve"> User responsibility and declaration form</w:t>
      </w:r>
    </w:p>
    <w:p w14:paraId="47E37891" w14:textId="5C0338A2" w:rsidR="00342F37" w:rsidRDefault="00721D01" w:rsidP="009A3CFC">
      <w:pPr>
        <w:pStyle w:val="ListParagraph"/>
        <w:numPr>
          <w:ilvl w:val="0"/>
          <w:numId w:val="19"/>
        </w:numPr>
        <w:tabs>
          <w:tab w:val="left" w:pos="993"/>
        </w:tabs>
        <w:ind w:left="1843"/>
        <w:rPr>
          <w:lang w:eastAsia="en-GB"/>
        </w:rPr>
      </w:pPr>
      <w:r w:rsidRPr="00721D01">
        <w:rPr>
          <w:lang w:eastAsia="en-GB"/>
        </w:rPr>
        <w:t xml:space="preserve">Appendix C </w:t>
      </w:r>
      <w:r w:rsidR="006D0DB8">
        <w:rPr>
          <w:lang w:eastAsia="en-GB"/>
        </w:rPr>
        <w:t>–</w:t>
      </w:r>
      <w:r w:rsidRPr="00721D01">
        <w:rPr>
          <w:lang w:eastAsia="en-GB"/>
        </w:rPr>
        <w:t xml:space="preserve"> </w:t>
      </w:r>
      <w:r w:rsidR="006D0DB8">
        <w:rPr>
          <w:lang w:eastAsia="en-GB"/>
        </w:rPr>
        <w:t>Police issue notice to perpetrator</w:t>
      </w:r>
    </w:p>
    <w:p w14:paraId="195EFD3C" w14:textId="28A71FE6" w:rsidR="00A531F3" w:rsidRPr="009A3CFC" w:rsidRDefault="00A531F3" w:rsidP="009A3CFC">
      <w:pPr>
        <w:pStyle w:val="ListParagraph"/>
        <w:numPr>
          <w:ilvl w:val="0"/>
          <w:numId w:val="19"/>
        </w:numPr>
        <w:tabs>
          <w:tab w:val="left" w:pos="993"/>
        </w:tabs>
        <w:ind w:left="1843"/>
        <w:rPr>
          <w:lang w:eastAsia="en-GB"/>
        </w:rPr>
      </w:pPr>
      <w:r w:rsidRPr="009A3CFC">
        <w:rPr>
          <w:lang w:eastAsia="en-GB"/>
        </w:rPr>
        <w:t xml:space="preserve">Appendix </w:t>
      </w:r>
      <w:r w:rsidR="006D0DB8" w:rsidRPr="009A3CFC">
        <w:rPr>
          <w:lang w:eastAsia="en-GB"/>
        </w:rPr>
        <w:t>D</w:t>
      </w:r>
      <w:r w:rsidRPr="009A3CFC">
        <w:rPr>
          <w:lang w:eastAsia="en-GB"/>
        </w:rPr>
        <w:t xml:space="preserve"> </w:t>
      </w:r>
      <w:r w:rsidR="00A95A0A" w:rsidRPr="009A3CFC">
        <w:rPr>
          <w:lang w:eastAsia="en-GB"/>
        </w:rPr>
        <w:t>–</w:t>
      </w:r>
      <w:r w:rsidRPr="009A3CFC">
        <w:rPr>
          <w:lang w:eastAsia="en-GB"/>
        </w:rPr>
        <w:t xml:space="preserve"> </w:t>
      </w:r>
      <w:r w:rsidR="00A95A0A" w:rsidRPr="009A3CFC">
        <w:rPr>
          <w:lang w:eastAsia="en-GB"/>
        </w:rPr>
        <w:t>SMART WATER</w:t>
      </w:r>
      <w:r w:rsidRPr="009A3CFC">
        <w:rPr>
          <w:lang w:eastAsia="en-GB"/>
        </w:rPr>
        <w:t xml:space="preserve"> </w:t>
      </w:r>
      <w:r w:rsidR="00E11A52" w:rsidRPr="009A3CFC">
        <w:rPr>
          <w:lang w:eastAsia="en-GB"/>
        </w:rPr>
        <w:t>Standard Operating Procedures.</w:t>
      </w:r>
    </w:p>
    <w:p w14:paraId="77DDBB82" w14:textId="5E841324" w:rsidR="00A531F3" w:rsidRDefault="00572519" w:rsidP="009A3CFC">
      <w:pPr>
        <w:pStyle w:val="ListParagraph"/>
        <w:numPr>
          <w:ilvl w:val="0"/>
          <w:numId w:val="19"/>
        </w:numPr>
        <w:tabs>
          <w:tab w:val="left" w:pos="993"/>
        </w:tabs>
        <w:ind w:left="1843"/>
        <w:rPr>
          <w:lang w:eastAsia="en-GB"/>
        </w:rPr>
      </w:pPr>
      <w:r w:rsidRPr="009A3CFC">
        <w:rPr>
          <w:lang w:eastAsia="en-GB"/>
        </w:rPr>
        <w:t>Appendix E – Forensic strategy for recovery</w:t>
      </w:r>
    </w:p>
    <w:p w14:paraId="3B25B649" w14:textId="11A52635" w:rsidR="000054D7" w:rsidRDefault="001A020E" w:rsidP="00FD4C5F">
      <w:pPr>
        <w:pStyle w:val="Heading2"/>
        <w:tabs>
          <w:tab w:val="left" w:pos="993"/>
        </w:tabs>
        <w:ind w:left="993" w:hanging="993"/>
        <w:rPr>
          <w:lang w:eastAsia="en-GB"/>
        </w:rPr>
      </w:pPr>
      <w:r>
        <w:rPr>
          <w:lang w:eastAsia="en-GB"/>
        </w:rPr>
        <w:t xml:space="preserve">4. </w:t>
      </w:r>
      <w:r w:rsidR="0051530F">
        <w:rPr>
          <w:lang w:eastAsia="en-GB"/>
        </w:rPr>
        <w:tab/>
      </w:r>
      <w:r>
        <w:rPr>
          <w:lang w:eastAsia="en-GB"/>
        </w:rPr>
        <w:t>Monitoring and review</w:t>
      </w:r>
    </w:p>
    <w:p w14:paraId="0DFC945B" w14:textId="50B1BEF9" w:rsidR="000054D7" w:rsidRDefault="000054D7" w:rsidP="00FD4C5F">
      <w:pPr>
        <w:tabs>
          <w:tab w:val="left" w:pos="993"/>
        </w:tabs>
        <w:ind w:left="993" w:hanging="993"/>
        <w:rPr>
          <w:lang w:eastAsia="en-GB"/>
        </w:rPr>
      </w:pPr>
      <w:r>
        <w:rPr>
          <w:lang w:eastAsia="en-GB"/>
        </w:rPr>
        <w:t>4.1</w:t>
      </w:r>
      <w:r w:rsidR="009A3CFC">
        <w:rPr>
          <w:lang w:eastAsia="en-GB"/>
        </w:rPr>
        <w:t>.</w:t>
      </w:r>
      <w:r>
        <w:rPr>
          <w:lang w:eastAsia="en-GB"/>
        </w:rPr>
        <w:tab/>
        <w:t>This policy will be subject to an ongoing review by the Head of PVP to ensure that any changes in legislation, guidance or procedures are incorporated as soon as possible. A formal review will be completed biennially.</w:t>
      </w:r>
    </w:p>
    <w:p w14:paraId="751C1C2F" w14:textId="0784B8A2" w:rsidR="001A020E" w:rsidRDefault="001A020E" w:rsidP="00FD4C5F">
      <w:pPr>
        <w:pStyle w:val="Heading2"/>
        <w:tabs>
          <w:tab w:val="left" w:pos="993"/>
        </w:tabs>
        <w:ind w:left="993" w:hanging="993"/>
        <w:rPr>
          <w:lang w:eastAsia="en-GB"/>
        </w:rPr>
      </w:pPr>
      <w:r>
        <w:rPr>
          <w:lang w:eastAsia="en-GB"/>
        </w:rPr>
        <w:lastRenderedPageBreak/>
        <w:t xml:space="preserve">5. </w:t>
      </w:r>
      <w:r w:rsidR="0051530F">
        <w:rPr>
          <w:lang w:eastAsia="en-GB"/>
        </w:rPr>
        <w:tab/>
      </w:r>
      <w:r>
        <w:rPr>
          <w:lang w:eastAsia="en-GB"/>
        </w:rPr>
        <w:t>Who to contact about this policy</w:t>
      </w:r>
    </w:p>
    <w:p w14:paraId="7CDC15D6" w14:textId="5CACADB7" w:rsidR="00C143E8" w:rsidRDefault="001A020E" w:rsidP="00FD4C5F">
      <w:pPr>
        <w:tabs>
          <w:tab w:val="left" w:pos="993"/>
        </w:tabs>
        <w:ind w:left="993" w:hanging="993"/>
        <w:rPr>
          <w:lang w:eastAsia="en-GB"/>
        </w:rPr>
        <w:sectPr w:rsidR="00C143E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r>
        <w:rPr>
          <w:lang w:eastAsia="en-GB"/>
        </w:rPr>
        <w:t xml:space="preserve">5.1. </w:t>
      </w:r>
      <w:r w:rsidR="0051530F">
        <w:rPr>
          <w:lang w:eastAsia="en-GB"/>
        </w:rPr>
        <w:tab/>
      </w:r>
      <w:r w:rsidR="000054D7" w:rsidRPr="000054D7">
        <w:rPr>
          <w:lang w:eastAsia="en-GB"/>
        </w:rPr>
        <w:t xml:space="preserve">This policy is owned by D/Superintendent Liz Rogers </w:t>
      </w:r>
      <w:hyperlink r:id="rId21" w:history="1">
        <w:r w:rsidR="000054D7" w:rsidRPr="00D90319">
          <w:rPr>
            <w:rStyle w:val="Hyperlink"/>
            <w:lang w:eastAsia="en-GB"/>
          </w:rPr>
          <w:t>Elizabeth.rogers@lincs.police.uk</w:t>
        </w:r>
      </w:hyperlink>
      <w:r w:rsidR="000054D7" w:rsidRPr="000054D7">
        <w:rPr>
          <w:lang w:eastAsia="en-GB"/>
        </w:rPr>
        <w:t xml:space="preserve">, any questions about this can be directed to </w:t>
      </w:r>
      <w:hyperlink r:id="rId22" w:history="1">
        <w:r w:rsidR="000054D7" w:rsidRPr="00D90319">
          <w:rPr>
            <w:rStyle w:val="Hyperlink"/>
            <w:lang w:eastAsia="en-GB"/>
          </w:rPr>
          <w:t>guy.leach2@lincs.police.uk</w:t>
        </w:r>
      </w:hyperlink>
      <w:r w:rsidR="000054D7">
        <w:rPr>
          <w:lang w:eastAsia="en-GB"/>
        </w:rPr>
        <w:t xml:space="preserve"> </w:t>
      </w:r>
    </w:p>
    <w:p w14:paraId="223EAFF3" w14:textId="128DA3A3" w:rsidR="00C143E8" w:rsidRDefault="00C143E8" w:rsidP="00BB4BB6">
      <w:pPr>
        <w:pStyle w:val="Heading2"/>
      </w:pPr>
      <w:r>
        <w:lastRenderedPageBreak/>
        <w:t>P</w:t>
      </w:r>
      <w:r w:rsidR="0082369F">
        <w:t>ro-forma for the</w:t>
      </w:r>
      <w:r w:rsidR="0085128C">
        <w:t xml:space="preserve"> equality</w:t>
      </w:r>
      <w:r w:rsidR="0082369F">
        <w:t xml:space="preserve"> initial assessment</w:t>
      </w:r>
    </w:p>
    <w:p w14:paraId="3D03AC1B" w14:textId="44057000" w:rsidR="00C143E8" w:rsidRDefault="00C143E8" w:rsidP="00BB4BB6">
      <w:r>
        <w:t>This screening document is the first stage in a two-stage process to take a systematic approach to assessing the impact of an activity on equality. An activity may mean a:</w:t>
      </w:r>
    </w:p>
    <w:p w14:paraId="50EE6DB6" w14:textId="08D5F4AE" w:rsidR="00C143E8" w:rsidRPr="00C143E8" w:rsidRDefault="00C143E8" w:rsidP="00C143E8">
      <w:pPr>
        <w:pStyle w:val="ListParagraph"/>
        <w:numPr>
          <w:ilvl w:val="0"/>
          <w:numId w:val="16"/>
        </w:numPr>
      </w:pPr>
      <w:r w:rsidRPr="00C143E8">
        <w:t>policy or policy review</w:t>
      </w:r>
    </w:p>
    <w:p w14:paraId="65F3BA27" w14:textId="77777777" w:rsidR="00C143E8" w:rsidRPr="00C143E8" w:rsidRDefault="00C143E8" w:rsidP="00C143E8">
      <w:pPr>
        <w:pStyle w:val="ListParagraph"/>
        <w:numPr>
          <w:ilvl w:val="0"/>
          <w:numId w:val="16"/>
        </w:numPr>
      </w:pPr>
      <w:r w:rsidRPr="00C143E8">
        <w:t xml:space="preserve">a business </w:t>
      </w:r>
      <w:proofErr w:type="gramStart"/>
      <w:r w:rsidRPr="00C143E8">
        <w:t>case</w:t>
      </w:r>
      <w:proofErr w:type="gramEnd"/>
      <w:r w:rsidRPr="00C143E8">
        <w:t xml:space="preserve">  </w:t>
      </w:r>
    </w:p>
    <w:p w14:paraId="52395E9B" w14:textId="77777777" w:rsidR="00C143E8" w:rsidRPr="00C143E8" w:rsidRDefault="00C143E8" w:rsidP="00C143E8">
      <w:pPr>
        <w:pStyle w:val="ListParagraph"/>
        <w:numPr>
          <w:ilvl w:val="0"/>
          <w:numId w:val="16"/>
        </w:numPr>
      </w:pPr>
      <w:r w:rsidRPr="00C143E8">
        <w:t xml:space="preserve">a business </w:t>
      </w:r>
      <w:proofErr w:type="gramStart"/>
      <w:r w:rsidRPr="00C143E8">
        <w:t>plan</w:t>
      </w:r>
      <w:proofErr w:type="gramEnd"/>
      <w:r w:rsidRPr="00C143E8">
        <w:t xml:space="preserve">  </w:t>
      </w:r>
    </w:p>
    <w:p w14:paraId="7DEF447C" w14:textId="77777777" w:rsidR="00C143E8" w:rsidRPr="00C143E8" w:rsidRDefault="00C143E8" w:rsidP="00C143E8">
      <w:pPr>
        <w:pStyle w:val="ListParagraph"/>
        <w:numPr>
          <w:ilvl w:val="0"/>
          <w:numId w:val="16"/>
        </w:numPr>
      </w:pPr>
      <w:r w:rsidRPr="00C143E8">
        <w:t xml:space="preserve">a project initiation </w:t>
      </w:r>
    </w:p>
    <w:p w14:paraId="5F2343A1" w14:textId="77777777" w:rsidR="00C143E8" w:rsidRPr="00C143E8" w:rsidRDefault="00C143E8" w:rsidP="00C143E8">
      <w:pPr>
        <w:pStyle w:val="ListParagraph"/>
        <w:numPr>
          <w:ilvl w:val="0"/>
          <w:numId w:val="16"/>
        </w:numPr>
      </w:pPr>
      <w:r w:rsidRPr="00C143E8">
        <w:t xml:space="preserve">a decision to implement a </w:t>
      </w:r>
      <w:proofErr w:type="gramStart"/>
      <w:r w:rsidRPr="00C143E8">
        <w:t>service</w:t>
      </w:r>
      <w:proofErr w:type="gramEnd"/>
    </w:p>
    <w:p w14:paraId="2DBC4A53" w14:textId="6E07FA2D" w:rsidR="00C143E8" w:rsidRPr="00C143E8" w:rsidRDefault="00C143E8" w:rsidP="00C143E8">
      <w:pPr>
        <w:pStyle w:val="ListParagraph"/>
        <w:numPr>
          <w:ilvl w:val="0"/>
          <w:numId w:val="16"/>
        </w:numPr>
      </w:pPr>
      <w:r w:rsidRPr="00C143E8">
        <w:t xml:space="preserve">a decision to decommission a service. </w:t>
      </w:r>
    </w:p>
    <w:p w14:paraId="2B7C2AA5" w14:textId="77777777" w:rsidR="00C143E8" w:rsidRDefault="00C143E8" w:rsidP="00BB4BB6">
      <w:r>
        <w:t xml:space="preserve">This screening should be completed by the lead person for the activity with assistance from any of the following departments:  </w:t>
      </w:r>
    </w:p>
    <w:p w14:paraId="557CC346" w14:textId="5533558F" w:rsidR="00C143E8" w:rsidRDefault="00C143E8" w:rsidP="00BB4BB6">
      <w:pPr>
        <w:pStyle w:val="ListParagraph"/>
        <w:numPr>
          <w:ilvl w:val="0"/>
          <w:numId w:val="18"/>
        </w:numPr>
      </w:pPr>
      <w:r>
        <w:t>Human Resources (</w:t>
      </w:r>
      <w:r w:rsidR="00EC1851">
        <w:t>w</w:t>
      </w:r>
      <w:r>
        <w:t>here appropriate)</w:t>
      </w:r>
    </w:p>
    <w:p w14:paraId="2E5C2B46" w14:textId="2E1B8803" w:rsidR="00C143E8" w:rsidRDefault="00C143E8" w:rsidP="00BB4BB6">
      <w:pPr>
        <w:pStyle w:val="ListParagraph"/>
        <w:numPr>
          <w:ilvl w:val="0"/>
          <w:numId w:val="18"/>
        </w:numPr>
      </w:pPr>
      <w:r>
        <w:t>Equality and Diversity</w:t>
      </w:r>
    </w:p>
    <w:p w14:paraId="713D9C46" w14:textId="63A12AAE" w:rsidR="00C143E8" w:rsidRDefault="00C143E8" w:rsidP="00C143E8">
      <w:pPr>
        <w:spacing w:after="0" w:line="240" w:lineRule="auto"/>
        <w:rPr>
          <w:rFonts w:cs="Arial"/>
          <w:sz w:val="22"/>
          <w:szCs w:val="22"/>
        </w:rPr>
      </w:pPr>
    </w:p>
    <w:tbl>
      <w:tblPr>
        <w:tblStyle w:val="TableGrid"/>
        <w:tblW w:w="0" w:type="auto"/>
        <w:jc w:val="center"/>
        <w:tblLook w:val="04A0" w:firstRow="1" w:lastRow="0" w:firstColumn="1" w:lastColumn="0" w:noHBand="0" w:noVBand="1"/>
      </w:tblPr>
      <w:tblGrid>
        <w:gridCol w:w="2122"/>
        <w:gridCol w:w="2409"/>
        <w:gridCol w:w="1985"/>
        <w:gridCol w:w="2268"/>
        <w:gridCol w:w="2839"/>
        <w:gridCol w:w="2325"/>
      </w:tblGrid>
      <w:tr w:rsidR="00C143E8" w:rsidRPr="00C143E8" w14:paraId="0C6B18D9" w14:textId="77777777" w:rsidTr="00BB4BB6">
        <w:trPr>
          <w:trHeight w:val="830"/>
          <w:jc w:val="center"/>
        </w:trPr>
        <w:tc>
          <w:tcPr>
            <w:tcW w:w="2122" w:type="dxa"/>
            <w:vAlign w:val="center"/>
          </w:tcPr>
          <w:p w14:paraId="0A6378D4" w14:textId="082AD3B2" w:rsidR="00C143E8" w:rsidRPr="00C143E8" w:rsidRDefault="00C143E8" w:rsidP="00C143E8">
            <w:pPr>
              <w:spacing w:after="0" w:line="240" w:lineRule="auto"/>
              <w:rPr>
                <w:rFonts w:cs="Arial"/>
                <w:b/>
                <w:bCs/>
              </w:rPr>
            </w:pPr>
            <w:r w:rsidRPr="00C143E8">
              <w:rPr>
                <w:rFonts w:cs="Arial"/>
                <w:b/>
                <w:bCs/>
              </w:rPr>
              <w:t>Department</w:t>
            </w:r>
            <w:r>
              <w:rPr>
                <w:rFonts w:cs="Arial"/>
                <w:b/>
                <w:bCs/>
              </w:rPr>
              <w:t>:</w:t>
            </w:r>
          </w:p>
        </w:tc>
        <w:tc>
          <w:tcPr>
            <w:tcW w:w="2409" w:type="dxa"/>
            <w:vAlign w:val="center"/>
          </w:tcPr>
          <w:p w14:paraId="251F204E" w14:textId="3CA5A0D1" w:rsidR="00C143E8" w:rsidRPr="00C143E8" w:rsidRDefault="0000732D" w:rsidP="00C143E8">
            <w:pPr>
              <w:spacing w:after="0" w:line="240" w:lineRule="auto"/>
              <w:rPr>
                <w:rFonts w:cs="Arial"/>
              </w:rPr>
            </w:pPr>
            <w:r>
              <w:rPr>
                <w:rFonts w:cs="Arial"/>
              </w:rPr>
              <w:t xml:space="preserve">PVP </w:t>
            </w:r>
          </w:p>
        </w:tc>
        <w:tc>
          <w:tcPr>
            <w:tcW w:w="1985" w:type="dxa"/>
            <w:vAlign w:val="center"/>
          </w:tcPr>
          <w:p w14:paraId="36270829" w14:textId="25BF8DB9" w:rsidR="00C143E8" w:rsidRPr="00C143E8" w:rsidRDefault="00C143E8" w:rsidP="00C143E8">
            <w:pPr>
              <w:spacing w:after="0" w:line="240" w:lineRule="auto"/>
              <w:rPr>
                <w:rFonts w:cs="Arial"/>
              </w:rPr>
            </w:pPr>
            <w:r w:rsidRPr="00C143E8">
              <w:rPr>
                <w:rFonts w:cs="Arial"/>
                <w:b/>
                <w:bCs/>
              </w:rPr>
              <w:t xml:space="preserve">Section:  </w:t>
            </w:r>
          </w:p>
        </w:tc>
        <w:tc>
          <w:tcPr>
            <w:tcW w:w="2268" w:type="dxa"/>
            <w:vAlign w:val="center"/>
          </w:tcPr>
          <w:p w14:paraId="6B1E0CAE" w14:textId="11B27345" w:rsidR="00C143E8" w:rsidRPr="00C143E8" w:rsidRDefault="0000732D" w:rsidP="00C143E8">
            <w:pPr>
              <w:spacing w:after="0" w:line="240" w:lineRule="auto"/>
              <w:rPr>
                <w:rFonts w:cs="Arial"/>
              </w:rPr>
            </w:pPr>
            <w:r>
              <w:rPr>
                <w:rFonts w:cs="Arial"/>
              </w:rPr>
              <w:t>PSH</w:t>
            </w:r>
          </w:p>
        </w:tc>
        <w:tc>
          <w:tcPr>
            <w:tcW w:w="2839" w:type="dxa"/>
            <w:vAlign w:val="center"/>
          </w:tcPr>
          <w:p w14:paraId="3496C2C1" w14:textId="4E89264D" w:rsidR="00C143E8" w:rsidRPr="00C143E8" w:rsidRDefault="00C143E8" w:rsidP="00C143E8">
            <w:pPr>
              <w:spacing w:after="0" w:line="240" w:lineRule="auto"/>
              <w:rPr>
                <w:rFonts w:cs="Arial"/>
              </w:rPr>
            </w:pPr>
            <w:r w:rsidRPr="00C143E8">
              <w:rPr>
                <w:rFonts w:cs="Arial"/>
                <w:b/>
                <w:bCs/>
              </w:rPr>
              <w:t>Person responsible for initial assessment:</w:t>
            </w:r>
          </w:p>
        </w:tc>
        <w:tc>
          <w:tcPr>
            <w:tcW w:w="2325" w:type="dxa"/>
            <w:vAlign w:val="center"/>
          </w:tcPr>
          <w:p w14:paraId="1270CCBD" w14:textId="32D3C899" w:rsidR="00C143E8" w:rsidRPr="00C143E8" w:rsidRDefault="0000732D" w:rsidP="00C143E8">
            <w:pPr>
              <w:spacing w:after="0" w:line="240" w:lineRule="auto"/>
              <w:rPr>
                <w:rFonts w:cs="Arial"/>
              </w:rPr>
            </w:pPr>
            <w:r>
              <w:rPr>
                <w:rFonts w:cs="Arial"/>
              </w:rPr>
              <w:t>DCI Rachael Cox</w:t>
            </w:r>
          </w:p>
        </w:tc>
      </w:tr>
      <w:tr w:rsidR="00C143E8" w:rsidRPr="00C143E8" w14:paraId="0EDDDB16" w14:textId="77777777" w:rsidTr="00C143E8">
        <w:trPr>
          <w:trHeight w:val="1131"/>
          <w:jc w:val="center"/>
        </w:trPr>
        <w:tc>
          <w:tcPr>
            <w:tcW w:w="2122" w:type="dxa"/>
            <w:vAlign w:val="center"/>
          </w:tcPr>
          <w:p w14:paraId="03A4FA6D" w14:textId="1A6D0A8E" w:rsidR="00C143E8" w:rsidRPr="00C143E8" w:rsidRDefault="002668E5" w:rsidP="00C143E8">
            <w:pPr>
              <w:spacing w:after="0" w:line="240" w:lineRule="auto"/>
              <w:rPr>
                <w:rFonts w:cs="Arial"/>
              </w:rPr>
            </w:pPr>
            <w:r>
              <w:rPr>
                <w:rFonts w:cs="Arial"/>
                <w:b/>
                <w:bCs/>
              </w:rPr>
              <w:t>P</w:t>
            </w:r>
            <w:r w:rsidR="00C143E8" w:rsidRPr="00C143E8">
              <w:rPr>
                <w:rFonts w:cs="Arial"/>
                <w:b/>
                <w:bCs/>
              </w:rPr>
              <w:t xml:space="preserve">olicy </w:t>
            </w:r>
            <w:r>
              <w:rPr>
                <w:rFonts w:cs="Arial"/>
                <w:b/>
                <w:bCs/>
              </w:rPr>
              <w:t>being</w:t>
            </w:r>
            <w:r w:rsidR="00C143E8" w:rsidRPr="00C143E8">
              <w:rPr>
                <w:rFonts w:cs="Arial"/>
                <w:b/>
                <w:bCs/>
              </w:rPr>
              <w:t xml:space="preserve"> assessed:</w:t>
            </w:r>
          </w:p>
        </w:tc>
        <w:tc>
          <w:tcPr>
            <w:tcW w:w="2409" w:type="dxa"/>
            <w:vAlign w:val="center"/>
          </w:tcPr>
          <w:p w14:paraId="6B27E6E9" w14:textId="5E459BE3" w:rsidR="00C143E8" w:rsidRPr="00C143E8" w:rsidRDefault="00DE41E9" w:rsidP="00C143E8">
            <w:pPr>
              <w:spacing w:after="0" w:line="240" w:lineRule="auto"/>
              <w:rPr>
                <w:rFonts w:cs="Arial"/>
              </w:rPr>
            </w:pPr>
            <w:r>
              <w:rPr>
                <w:rFonts w:cs="Arial"/>
              </w:rPr>
              <w:t>Smart Water</w:t>
            </w:r>
          </w:p>
        </w:tc>
        <w:tc>
          <w:tcPr>
            <w:tcW w:w="1985" w:type="dxa"/>
            <w:vAlign w:val="center"/>
          </w:tcPr>
          <w:p w14:paraId="74D26523" w14:textId="64CA6BCD" w:rsidR="00C143E8" w:rsidRPr="00C143E8" w:rsidRDefault="00C143E8" w:rsidP="00C143E8">
            <w:pPr>
              <w:spacing w:after="0" w:line="240" w:lineRule="auto"/>
              <w:rPr>
                <w:rFonts w:cs="Arial"/>
              </w:rPr>
            </w:pPr>
            <w:r w:rsidRPr="00C143E8">
              <w:rPr>
                <w:rFonts w:cs="Arial"/>
                <w:b/>
                <w:bCs/>
              </w:rPr>
              <w:t xml:space="preserve">Date of </w:t>
            </w:r>
            <w:r w:rsidR="00EC1851">
              <w:rPr>
                <w:rFonts w:cs="Arial"/>
                <w:b/>
                <w:bCs/>
              </w:rPr>
              <w:t>a</w:t>
            </w:r>
            <w:r w:rsidRPr="00C143E8">
              <w:rPr>
                <w:rFonts w:cs="Arial"/>
                <w:b/>
                <w:bCs/>
              </w:rPr>
              <w:t>ssessment:</w:t>
            </w:r>
          </w:p>
        </w:tc>
        <w:tc>
          <w:tcPr>
            <w:tcW w:w="2268" w:type="dxa"/>
            <w:vAlign w:val="center"/>
          </w:tcPr>
          <w:p w14:paraId="7E9A7508" w14:textId="7225099F" w:rsidR="00C143E8" w:rsidRPr="00C143E8" w:rsidRDefault="00C47EE7" w:rsidP="00C143E8">
            <w:pPr>
              <w:spacing w:after="0" w:line="240" w:lineRule="auto"/>
              <w:rPr>
                <w:rFonts w:cs="Arial"/>
              </w:rPr>
            </w:pPr>
            <w:r>
              <w:rPr>
                <w:rFonts w:cs="Arial"/>
              </w:rPr>
              <w:t>21/02</w:t>
            </w:r>
            <w:r w:rsidR="00A95A0A">
              <w:rPr>
                <w:rFonts w:cs="Arial"/>
              </w:rPr>
              <w:t>/2024</w:t>
            </w:r>
          </w:p>
        </w:tc>
        <w:tc>
          <w:tcPr>
            <w:tcW w:w="2839" w:type="dxa"/>
            <w:vAlign w:val="center"/>
          </w:tcPr>
          <w:p w14:paraId="000F3E05" w14:textId="1A536C87" w:rsidR="00C143E8" w:rsidRPr="00C143E8" w:rsidRDefault="00C143E8" w:rsidP="00C143E8">
            <w:pPr>
              <w:spacing w:after="0" w:line="240" w:lineRule="auto"/>
              <w:rPr>
                <w:rFonts w:cs="Arial"/>
              </w:rPr>
            </w:pPr>
            <w:r w:rsidRPr="00C143E8">
              <w:rPr>
                <w:rFonts w:cs="Arial"/>
                <w:b/>
                <w:bCs/>
              </w:rPr>
              <w:t>Is this a new or existing policy?</w:t>
            </w:r>
          </w:p>
        </w:tc>
        <w:tc>
          <w:tcPr>
            <w:tcW w:w="2325" w:type="dxa"/>
            <w:vAlign w:val="center"/>
          </w:tcPr>
          <w:p w14:paraId="467EF084" w14:textId="3FB95635" w:rsidR="00C143E8" w:rsidRPr="00C143E8" w:rsidRDefault="0000732D" w:rsidP="00C143E8">
            <w:pPr>
              <w:spacing w:after="0" w:line="240" w:lineRule="auto"/>
              <w:rPr>
                <w:rFonts w:cs="Arial"/>
              </w:rPr>
            </w:pPr>
            <w:r>
              <w:rPr>
                <w:rFonts w:cs="Arial"/>
              </w:rPr>
              <w:t>New</w:t>
            </w:r>
          </w:p>
        </w:tc>
      </w:tr>
    </w:tbl>
    <w:p w14:paraId="6DD8466C" w14:textId="77777777" w:rsidR="00C143E8" w:rsidRDefault="00C143E8" w:rsidP="00C143E8">
      <w:pPr>
        <w:rPr>
          <w:rFonts w:cs="Arial"/>
          <w:b/>
          <w:bCs/>
          <w:sz w:val="28"/>
        </w:rPr>
      </w:pPr>
    </w:p>
    <w:tbl>
      <w:tblPr>
        <w:tblStyle w:val="TableGrid"/>
        <w:tblW w:w="14029" w:type="dxa"/>
        <w:tblLook w:val="0020" w:firstRow="1" w:lastRow="0" w:firstColumn="0" w:lastColumn="0" w:noHBand="0" w:noVBand="0"/>
        <w:tblCaption w:val="Equality Impact Assessment"/>
        <w:tblDescription w:val="Answers to the EIA questions relating to this policy"/>
      </w:tblPr>
      <w:tblGrid>
        <w:gridCol w:w="5240"/>
        <w:gridCol w:w="8789"/>
      </w:tblGrid>
      <w:tr w:rsidR="00E24C76" w14:paraId="53BFD258" w14:textId="77777777" w:rsidTr="00B720DC">
        <w:trPr>
          <w:trHeight w:val="243"/>
        </w:trPr>
        <w:tc>
          <w:tcPr>
            <w:tcW w:w="5240" w:type="dxa"/>
          </w:tcPr>
          <w:p w14:paraId="0F26CB17" w14:textId="09834363" w:rsidR="00E24C76" w:rsidRPr="00E24C76" w:rsidRDefault="00E24C76" w:rsidP="001F3E93">
            <w:pPr>
              <w:rPr>
                <w:rFonts w:cs="Arial"/>
                <w:b/>
                <w:bCs/>
              </w:rPr>
            </w:pPr>
            <w:r w:rsidRPr="00E24C76">
              <w:rPr>
                <w:rFonts w:cs="Arial"/>
                <w:b/>
                <w:bCs/>
              </w:rPr>
              <w:lastRenderedPageBreak/>
              <w:t>Question</w:t>
            </w:r>
          </w:p>
        </w:tc>
        <w:tc>
          <w:tcPr>
            <w:tcW w:w="8789" w:type="dxa"/>
          </w:tcPr>
          <w:p w14:paraId="5E49E415" w14:textId="79F17472" w:rsidR="00E24C76" w:rsidRPr="00A07A74" w:rsidRDefault="00E24C76" w:rsidP="001F3E93">
            <w:pPr>
              <w:rPr>
                <w:rFonts w:cs="Arial"/>
                <w:b/>
                <w:bCs/>
                <w:color w:val="auto"/>
              </w:rPr>
            </w:pPr>
            <w:r w:rsidRPr="00A07A74">
              <w:rPr>
                <w:rFonts w:cs="Arial"/>
                <w:b/>
                <w:bCs/>
                <w:color w:val="auto"/>
              </w:rPr>
              <w:t>Answer</w:t>
            </w:r>
          </w:p>
        </w:tc>
      </w:tr>
      <w:tr w:rsidR="00C143E8" w14:paraId="6D36C3A5" w14:textId="77777777" w:rsidTr="00B720DC">
        <w:trPr>
          <w:trHeight w:val="830"/>
        </w:trPr>
        <w:tc>
          <w:tcPr>
            <w:tcW w:w="5240" w:type="dxa"/>
          </w:tcPr>
          <w:p w14:paraId="4F3F354A" w14:textId="77777777" w:rsidR="00C143E8" w:rsidRDefault="00C143E8" w:rsidP="001F3E93">
            <w:pPr>
              <w:rPr>
                <w:rFonts w:cs="Arial"/>
              </w:rPr>
            </w:pPr>
            <w:r>
              <w:rPr>
                <w:rFonts w:cs="Arial"/>
              </w:rPr>
              <w:t xml:space="preserve">1. Briefly describe the aims, </w:t>
            </w:r>
            <w:proofErr w:type="gramStart"/>
            <w:r>
              <w:rPr>
                <w:rFonts w:cs="Arial"/>
              </w:rPr>
              <w:t>objectives</w:t>
            </w:r>
            <w:proofErr w:type="gramEnd"/>
            <w:r>
              <w:rPr>
                <w:rFonts w:cs="Arial"/>
              </w:rPr>
              <w:t xml:space="preserve"> and purpose of the policy.</w:t>
            </w:r>
          </w:p>
        </w:tc>
        <w:tc>
          <w:tcPr>
            <w:tcW w:w="8789" w:type="dxa"/>
          </w:tcPr>
          <w:p w14:paraId="46EC2AE7" w14:textId="430DB4C1" w:rsidR="00C143E8" w:rsidRPr="00A07A74" w:rsidRDefault="00B80A45" w:rsidP="001F3E93">
            <w:pPr>
              <w:rPr>
                <w:rFonts w:cs="Arial"/>
                <w:color w:val="auto"/>
              </w:rPr>
            </w:pPr>
            <w:r w:rsidRPr="003A7AA7">
              <w:rPr>
                <w:lang w:eastAsia="en-GB"/>
              </w:rPr>
              <w:t xml:space="preserve">The overall aim of this policy is to ensure Police </w:t>
            </w:r>
            <w:r>
              <w:rPr>
                <w:lang w:eastAsia="en-GB"/>
              </w:rPr>
              <w:t xml:space="preserve">provide appropriate safeguarding to victims of domestic abuse in the form of a </w:t>
            </w:r>
            <w:r w:rsidR="00A95A0A">
              <w:rPr>
                <w:lang w:eastAsia="en-GB"/>
              </w:rPr>
              <w:t>deterrent of SMART WATER to a</w:t>
            </w:r>
            <w:r>
              <w:rPr>
                <w:lang w:eastAsia="en-GB"/>
              </w:rPr>
              <w:t xml:space="preserve">ssist them in </w:t>
            </w:r>
            <w:r w:rsidR="00A95A0A">
              <w:rPr>
                <w:lang w:eastAsia="en-GB"/>
              </w:rPr>
              <w:t>evidencing the approach of a perpetrator whether in breach of bail conditions or committing fresh offences.</w:t>
            </w:r>
            <w:r>
              <w:rPr>
                <w:lang w:eastAsia="en-GB"/>
              </w:rPr>
              <w:t xml:space="preserve"> It seeks to offer</w:t>
            </w:r>
            <w:r w:rsidRPr="003A7AA7">
              <w:rPr>
                <w:lang w:eastAsia="en-GB"/>
              </w:rPr>
              <w:t xml:space="preserve"> clear guidance to enable decisions to be made that will we continue to protect life and prevent serious harm, where it is appropriate for </w:t>
            </w:r>
            <w:r w:rsidR="00A95A0A">
              <w:rPr>
                <w:lang w:eastAsia="en-GB"/>
              </w:rPr>
              <w:t>SMART WATER resources to be allocated.</w:t>
            </w:r>
          </w:p>
        </w:tc>
      </w:tr>
      <w:tr w:rsidR="00C143E8" w14:paraId="5F7AE491" w14:textId="77777777" w:rsidTr="00B720DC">
        <w:trPr>
          <w:trHeight w:val="984"/>
        </w:trPr>
        <w:tc>
          <w:tcPr>
            <w:tcW w:w="5240" w:type="dxa"/>
          </w:tcPr>
          <w:p w14:paraId="68FC8813" w14:textId="44968C5C" w:rsidR="00C143E8" w:rsidRDefault="00C143E8" w:rsidP="001F3E93">
            <w:pPr>
              <w:rPr>
                <w:rFonts w:cs="Arial"/>
              </w:rPr>
            </w:pPr>
            <w:r>
              <w:rPr>
                <w:rFonts w:cs="Arial"/>
              </w:rPr>
              <w:t>2. Are there any associated objectives of the policy? Please explain.</w:t>
            </w:r>
          </w:p>
        </w:tc>
        <w:tc>
          <w:tcPr>
            <w:tcW w:w="8789" w:type="dxa"/>
          </w:tcPr>
          <w:p w14:paraId="1FA386E6" w14:textId="609F6ADF" w:rsidR="00C143E8" w:rsidRPr="00A07A74" w:rsidRDefault="00B80A45" w:rsidP="001F3E93">
            <w:pPr>
              <w:rPr>
                <w:rFonts w:cs="Arial"/>
                <w:color w:val="auto"/>
              </w:rPr>
            </w:pPr>
            <w:r w:rsidRPr="003A7AA7">
              <w:t>Adoption of a formal decision</w:t>
            </w:r>
            <w:r>
              <w:t>-</w:t>
            </w:r>
            <w:r w:rsidRPr="003A7AA7">
              <w:t>making process</w:t>
            </w:r>
            <w:r>
              <w:t xml:space="preserve"> for staff receiving requests for the </w:t>
            </w:r>
            <w:r w:rsidR="00A95A0A">
              <w:t>product to be allocated to victims of domestic abuse</w:t>
            </w:r>
            <w:r>
              <w:t xml:space="preserve">. </w:t>
            </w:r>
            <w:r w:rsidRPr="003A7AA7">
              <w:t xml:space="preserve">Requests for police </w:t>
            </w:r>
            <w:r>
              <w:t>distribution</w:t>
            </w:r>
            <w:r w:rsidRPr="003A7AA7">
              <w:t xml:space="preserve"> must meet threshold of perceived risk of immediate risk/serious harm before </w:t>
            </w:r>
            <w:r>
              <w:t xml:space="preserve">the </w:t>
            </w:r>
            <w:r w:rsidR="00A95A0A">
              <w:t>product</w:t>
            </w:r>
            <w:r>
              <w:t xml:space="preserve"> will be </w:t>
            </w:r>
            <w:r w:rsidR="00A95A0A">
              <w:t>provided</w:t>
            </w:r>
            <w:r>
              <w:t>.</w:t>
            </w:r>
          </w:p>
        </w:tc>
      </w:tr>
      <w:tr w:rsidR="00B80A45" w14:paraId="6AA1F7FB" w14:textId="77777777" w:rsidTr="00E45F1B">
        <w:trPr>
          <w:trHeight w:val="980"/>
        </w:trPr>
        <w:tc>
          <w:tcPr>
            <w:tcW w:w="5240" w:type="dxa"/>
          </w:tcPr>
          <w:p w14:paraId="089F85AA" w14:textId="5E938D0C" w:rsidR="00B80A45" w:rsidRDefault="00B80A45" w:rsidP="00B80A45">
            <w:pPr>
              <w:rPr>
                <w:rFonts w:cs="Arial"/>
              </w:rPr>
            </w:pPr>
            <w:r>
              <w:rPr>
                <w:rFonts w:cs="Arial"/>
              </w:rPr>
              <w:t>3. Who is intended to benefit from the policy and in what way?</w:t>
            </w:r>
          </w:p>
        </w:tc>
        <w:tc>
          <w:tcPr>
            <w:tcW w:w="8789" w:type="dxa"/>
            <w:vAlign w:val="center"/>
          </w:tcPr>
          <w:p w14:paraId="6AD78F51" w14:textId="4026F77F" w:rsidR="00B80A45" w:rsidRPr="00A07A74" w:rsidRDefault="00B80A45" w:rsidP="00C47EE7">
            <w:pPr>
              <w:pStyle w:val="Default"/>
              <w:spacing w:after="240" w:line="336" w:lineRule="auto"/>
              <w:rPr>
                <w:color w:val="auto"/>
              </w:rPr>
            </w:pPr>
            <w:r w:rsidRPr="003A7AA7">
              <w:t xml:space="preserve">Members of the public and Lincolnshire Police officers &amp; staff.  Members of the public will receive assistance from those services best equipped to deal with the </w:t>
            </w:r>
            <w:r w:rsidR="00A95A0A">
              <w:t>deployment</w:t>
            </w:r>
            <w:r w:rsidRPr="003A7AA7">
              <w:t xml:space="preserve">. Lincolnshire Police will have improved guidance to assist officers and staff in determining where it is appropriate </w:t>
            </w:r>
            <w:r>
              <w:t xml:space="preserve">to </w:t>
            </w:r>
            <w:r w:rsidR="00A95A0A">
              <w:t>provide the product as a deterrent to a member of the public at risk of domestic abuse.</w:t>
            </w:r>
          </w:p>
        </w:tc>
      </w:tr>
      <w:tr w:rsidR="00B80A45" w14:paraId="57592598" w14:textId="77777777" w:rsidTr="00B720DC">
        <w:trPr>
          <w:trHeight w:val="648"/>
        </w:trPr>
        <w:tc>
          <w:tcPr>
            <w:tcW w:w="5240" w:type="dxa"/>
          </w:tcPr>
          <w:p w14:paraId="62B34534" w14:textId="5D96E737" w:rsidR="00B80A45" w:rsidRDefault="00B80A45" w:rsidP="00B80A45">
            <w:pPr>
              <w:rPr>
                <w:rFonts w:cs="Arial"/>
              </w:rPr>
            </w:pPr>
            <w:r>
              <w:rPr>
                <w:rFonts w:cs="Arial"/>
              </w:rPr>
              <w:t>4. What outcomes are wanted from this policy?</w:t>
            </w:r>
          </w:p>
        </w:tc>
        <w:tc>
          <w:tcPr>
            <w:tcW w:w="8789" w:type="dxa"/>
          </w:tcPr>
          <w:p w14:paraId="1272C0BF" w14:textId="123B7902" w:rsidR="00B80A45" w:rsidRPr="00A07A74" w:rsidRDefault="00B80A45" w:rsidP="00B80A45">
            <w:pPr>
              <w:rPr>
                <w:rFonts w:cs="Arial"/>
                <w:color w:val="auto"/>
                <w:szCs w:val="22"/>
              </w:rPr>
            </w:pPr>
            <w:r w:rsidRPr="003A7AA7">
              <w:t xml:space="preserve">To protect and serve our communities by defining the standards surrounding </w:t>
            </w:r>
            <w:r w:rsidR="00A95A0A">
              <w:t>SMART WATER</w:t>
            </w:r>
            <w:r>
              <w:t xml:space="preserve"> application</w:t>
            </w:r>
            <w:r w:rsidRPr="003A7AA7">
              <w:t>, ensuring compliance with legislation and data recording.</w:t>
            </w:r>
          </w:p>
        </w:tc>
      </w:tr>
      <w:tr w:rsidR="00B80A45" w14:paraId="4254949C" w14:textId="77777777" w:rsidTr="00B720DC">
        <w:trPr>
          <w:trHeight w:val="705"/>
        </w:trPr>
        <w:tc>
          <w:tcPr>
            <w:tcW w:w="5240" w:type="dxa"/>
          </w:tcPr>
          <w:p w14:paraId="120419A1" w14:textId="01310B5E" w:rsidR="00B80A45" w:rsidRDefault="00B80A45" w:rsidP="00B80A45">
            <w:pPr>
              <w:rPr>
                <w:rFonts w:cs="Arial"/>
              </w:rPr>
            </w:pPr>
            <w:r>
              <w:rPr>
                <w:rFonts w:cs="Arial"/>
              </w:rPr>
              <w:lastRenderedPageBreak/>
              <w:t>5. What factors/forces could contribute/detract from the outcomes?</w:t>
            </w:r>
          </w:p>
        </w:tc>
        <w:tc>
          <w:tcPr>
            <w:tcW w:w="8789" w:type="dxa"/>
          </w:tcPr>
          <w:p w14:paraId="4CD330C0" w14:textId="77777777" w:rsidR="00B80A45" w:rsidRPr="00C961B5" w:rsidRDefault="00B80A45" w:rsidP="00B80A45">
            <w:r w:rsidRPr="00C961B5">
              <w:t>There are risks associated with this policy</w:t>
            </w:r>
            <w:r>
              <w:t xml:space="preserve"> in terms of:</w:t>
            </w:r>
          </w:p>
          <w:p w14:paraId="5D020D44" w14:textId="77777777" w:rsidR="00B80A45" w:rsidRDefault="00B80A45" w:rsidP="00B80A45">
            <w:r w:rsidRPr="003A7AA7">
              <w:t>Adverse media attention, Erosion in partnership cohesi</w:t>
            </w:r>
            <w:r>
              <w:t xml:space="preserve">on, Potential loss of trust and </w:t>
            </w:r>
            <w:r w:rsidRPr="003A7AA7">
              <w:t>conf</w:t>
            </w:r>
            <w:r>
              <w:t xml:space="preserve">idence in Lincolnshire Police. </w:t>
            </w:r>
          </w:p>
          <w:p w14:paraId="4257EE0F" w14:textId="5A14D79F" w:rsidR="00B80A45" w:rsidRPr="00A07A74" w:rsidRDefault="00B80A45" w:rsidP="00B80A45">
            <w:pPr>
              <w:rPr>
                <w:rFonts w:cs="Arial"/>
                <w:color w:val="auto"/>
                <w:szCs w:val="22"/>
              </w:rPr>
            </w:pPr>
            <w:proofErr w:type="gramStart"/>
            <w:r w:rsidRPr="003A7AA7">
              <w:t>However</w:t>
            </w:r>
            <w:proofErr w:type="gramEnd"/>
            <w:r w:rsidRPr="003A7AA7">
              <w:t xml:space="preserve"> this is balanced against adopting a fair and transparent process in order to identify high risk situations and take immediate a</w:t>
            </w:r>
            <w:r>
              <w:t xml:space="preserve">ction to mitigate those risks. </w:t>
            </w:r>
            <w:r w:rsidRPr="003A7AA7">
              <w:t xml:space="preserve">It is also accepted that Lincolnshire Police will </w:t>
            </w:r>
            <w:r>
              <w:t xml:space="preserve">communicate with partner agencies with regard the criteria which needs to be fulfilled in order to have this </w:t>
            </w:r>
            <w:r w:rsidR="00A95A0A">
              <w:t>product</w:t>
            </w:r>
            <w:r>
              <w:t xml:space="preserve"> deployed. This will fully explain the new policy and will invite partners the opportunity to feedback their thoughts, </w:t>
            </w:r>
            <w:proofErr w:type="gramStart"/>
            <w:r>
              <w:t>concerns</w:t>
            </w:r>
            <w:proofErr w:type="gramEnd"/>
            <w:r>
              <w:t xml:space="preserve"> or queries around the new policy.</w:t>
            </w:r>
          </w:p>
        </w:tc>
      </w:tr>
      <w:tr w:rsidR="00B80A45" w14:paraId="21DFCB50" w14:textId="77777777" w:rsidTr="00B720DC">
        <w:trPr>
          <w:trHeight w:val="892"/>
        </w:trPr>
        <w:tc>
          <w:tcPr>
            <w:tcW w:w="5240" w:type="dxa"/>
          </w:tcPr>
          <w:p w14:paraId="47C00E36" w14:textId="518DB538" w:rsidR="00B80A45" w:rsidRDefault="00B80A45" w:rsidP="00B80A45">
            <w:pPr>
              <w:rPr>
                <w:rFonts w:cs="Arial"/>
              </w:rPr>
            </w:pPr>
            <w:r>
              <w:rPr>
                <w:rFonts w:cs="Arial"/>
              </w:rPr>
              <w:t>6. Who are the main stakeholders in relation to the Policy?</w:t>
            </w:r>
          </w:p>
        </w:tc>
        <w:tc>
          <w:tcPr>
            <w:tcW w:w="8789" w:type="dxa"/>
          </w:tcPr>
          <w:p w14:paraId="2DEE1671" w14:textId="261C114B" w:rsidR="00B80A45" w:rsidRPr="00A07A74" w:rsidRDefault="00B80A45" w:rsidP="00B80A45">
            <w:pPr>
              <w:rPr>
                <w:rFonts w:cs="Arial"/>
                <w:color w:val="auto"/>
              </w:rPr>
            </w:pPr>
            <w:r w:rsidRPr="003A7AA7">
              <w:t>Members of the public, Lincolnshire Police officers &amp; staff, partner agencies.</w:t>
            </w:r>
          </w:p>
        </w:tc>
      </w:tr>
      <w:tr w:rsidR="00B80A45" w14:paraId="3370BA04" w14:textId="77777777" w:rsidTr="00B720DC">
        <w:trPr>
          <w:trHeight w:val="758"/>
        </w:trPr>
        <w:tc>
          <w:tcPr>
            <w:tcW w:w="5240" w:type="dxa"/>
          </w:tcPr>
          <w:p w14:paraId="218782DF" w14:textId="446DF54B" w:rsidR="00B80A45" w:rsidRDefault="00B80A45" w:rsidP="00B80A45">
            <w:pPr>
              <w:rPr>
                <w:rFonts w:cs="Arial"/>
              </w:rPr>
            </w:pPr>
            <w:r>
              <w:rPr>
                <w:rFonts w:cs="Arial"/>
              </w:rPr>
              <w:t>7. Who implements the policy and who is responsible for the activity?</w:t>
            </w:r>
          </w:p>
        </w:tc>
        <w:tc>
          <w:tcPr>
            <w:tcW w:w="8789" w:type="dxa"/>
          </w:tcPr>
          <w:p w14:paraId="66B47170" w14:textId="2642D0DB" w:rsidR="00B80A45" w:rsidRPr="00A07A74" w:rsidRDefault="00B80A45" w:rsidP="00B80A45">
            <w:pPr>
              <w:rPr>
                <w:color w:val="auto"/>
              </w:rPr>
            </w:pPr>
            <w:r>
              <w:rPr>
                <w:color w:val="auto"/>
              </w:rPr>
              <w:t xml:space="preserve">The policy is implemented by the PSH and </w:t>
            </w:r>
            <w:r w:rsidR="00A95A0A">
              <w:rPr>
                <w:color w:val="auto"/>
              </w:rPr>
              <w:t>direction to officers should they deal with a perpetrator and require forensic analysis.</w:t>
            </w:r>
          </w:p>
        </w:tc>
      </w:tr>
      <w:tr w:rsidR="00B80A45" w14:paraId="1635A48F" w14:textId="77777777" w:rsidTr="00B720DC">
        <w:trPr>
          <w:trHeight w:val="1116"/>
        </w:trPr>
        <w:tc>
          <w:tcPr>
            <w:tcW w:w="5240" w:type="dxa"/>
          </w:tcPr>
          <w:p w14:paraId="069D0D9D" w14:textId="49681C48" w:rsidR="00B80A45" w:rsidRDefault="00B80A45" w:rsidP="00B80A45">
            <w:pPr>
              <w:rPr>
                <w:rFonts w:cs="Arial"/>
              </w:rPr>
            </w:pPr>
            <w:r>
              <w:rPr>
                <w:rFonts w:cs="Arial"/>
              </w:rPr>
              <w:t xml:space="preserve">8. Is there any likelihood the </w:t>
            </w:r>
            <w:r w:rsidRPr="0063295E">
              <w:rPr>
                <w:rFonts w:cs="Arial"/>
              </w:rPr>
              <w:t xml:space="preserve">policy </w:t>
            </w:r>
            <w:r w:rsidRPr="0063295E">
              <w:rPr>
                <w:rFonts w:cs="Arial"/>
                <w:b/>
                <w:bCs/>
              </w:rPr>
              <w:t>could</w:t>
            </w:r>
            <w:r>
              <w:rPr>
                <w:rFonts w:cs="Arial"/>
              </w:rPr>
              <w:t xml:space="preserve"> have a differential impact on racial groups? (Including Gypsies and Travellers)</w:t>
            </w:r>
          </w:p>
        </w:tc>
        <w:tc>
          <w:tcPr>
            <w:tcW w:w="8789" w:type="dxa"/>
          </w:tcPr>
          <w:p w14:paraId="5647BD64" w14:textId="77777777" w:rsidR="00B80A45" w:rsidRDefault="00B80A45" w:rsidP="00B80A45">
            <w:pPr>
              <w:rPr>
                <w:rFonts w:cs="Arial"/>
                <w:b/>
                <w:color w:val="auto"/>
                <w:szCs w:val="22"/>
              </w:rPr>
            </w:pPr>
            <w:r w:rsidRPr="00A07A74">
              <w:rPr>
                <w:rFonts w:cs="Arial"/>
                <w:b/>
                <w:color w:val="auto"/>
                <w:szCs w:val="22"/>
              </w:rPr>
              <w:t>No</w:t>
            </w:r>
          </w:p>
          <w:p w14:paraId="6A4C8FCD" w14:textId="19399C51" w:rsidR="00B80A45" w:rsidRPr="00A07A74" w:rsidRDefault="00B80A45" w:rsidP="00B80A45">
            <w:pPr>
              <w:rPr>
                <w:rFonts w:cs="Arial"/>
                <w:color w:val="auto"/>
              </w:rPr>
            </w:pPr>
            <w:r w:rsidRPr="0083201B">
              <w:rPr>
                <w:rFonts w:cs="Arial"/>
              </w:rPr>
              <w:t>In the application of this policy, Lincolnshire police will not discriminate against any persons. There is nothing within the policy that is likely to create a different impact on any person who identifies as a racial group.</w:t>
            </w:r>
          </w:p>
        </w:tc>
      </w:tr>
      <w:tr w:rsidR="00B80A45" w14:paraId="159DFAB8" w14:textId="77777777" w:rsidTr="00B720DC">
        <w:trPr>
          <w:trHeight w:val="885"/>
        </w:trPr>
        <w:tc>
          <w:tcPr>
            <w:tcW w:w="5240" w:type="dxa"/>
          </w:tcPr>
          <w:p w14:paraId="22F6C9CF" w14:textId="77777777" w:rsidR="00B80A45" w:rsidRDefault="00B80A45" w:rsidP="00B80A45">
            <w:pPr>
              <w:rPr>
                <w:rFonts w:cs="Arial"/>
              </w:rPr>
            </w:pPr>
            <w:r>
              <w:rPr>
                <w:rFonts w:cs="Arial"/>
              </w:rPr>
              <w:t>What existing evidence (either presumed or otherwise) do you have for this?</w:t>
            </w:r>
          </w:p>
        </w:tc>
        <w:tc>
          <w:tcPr>
            <w:tcW w:w="8789" w:type="dxa"/>
          </w:tcPr>
          <w:p w14:paraId="70A8C517" w14:textId="4E97EE6B" w:rsidR="00B80A45" w:rsidRPr="00A07A74" w:rsidRDefault="00B80A45" w:rsidP="00B80A45">
            <w:pPr>
              <w:rPr>
                <w:rFonts w:cs="Arial"/>
                <w:color w:val="auto"/>
              </w:rPr>
            </w:pPr>
            <w:r w:rsidRPr="0083201B">
              <w:rPr>
                <w:rFonts w:cs="Arial"/>
                <w:color w:val="auto"/>
              </w:rPr>
              <w:t xml:space="preserve">This policy is based purely on concerns raised for an individual person by a private member of the public or a public body/partner agency. It will focus on the </w:t>
            </w:r>
            <w:r w:rsidRPr="0083201B">
              <w:rPr>
                <w:rFonts w:cs="Arial"/>
                <w:color w:val="auto"/>
              </w:rPr>
              <w:lastRenderedPageBreak/>
              <w:t>vulnerability of the individual balanced against police powers and liability. It is anticipated that this will transcend across the entire demographic population.</w:t>
            </w:r>
          </w:p>
        </w:tc>
      </w:tr>
      <w:tr w:rsidR="00B80A45" w14:paraId="30F9AD4E" w14:textId="77777777" w:rsidTr="00B720DC">
        <w:trPr>
          <w:trHeight w:val="952"/>
        </w:trPr>
        <w:tc>
          <w:tcPr>
            <w:tcW w:w="5240" w:type="dxa"/>
          </w:tcPr>
          <w:p w14:paraId="68A825F4" w14:textId="77777777" w:rsidR="00B80A45" w:rsidRDefault="00B80A45" w:rsidP="00B80A45">
            <w:pPr>
              <w:rPr>
                <w:rFonts w:cs="Arial"/>
              </w:rPr>
            </w:pPr>
            <w:r>
              <w:rPr>
                <w:rFonts w:cs="Arial"/>
              </w:rPr>
              <w:lastRenderedPageBreak/>
              <w:t xml:space="preserve">9. Is there any likelihood the policy </w:t>
            </w:r>
            <w:r w:rsidRPr="00EC1851">
              <w:rPr>
                <w:rFonts w:cs="Arial"/>
                <w:b/>
                <w:bCs/>
              </w:rPr>
              <w:t xml:space="preserve">could </w:t>
            </w:r>
            <w:r>
              <w:rPr>
                <w:rFonts w:cs="Arial"/>
              </w:rPr>
              <w:t>have a differential impact due to gender?</w:t>
            </w:r>
          </w:p>
        </w:tc>
        <w:tc>
          <w:tcPr>
            <w:tcW w:w="8789" w:type="dxa"/>
          </w:tcPr>
          <w:p w14:paraId="3117AC03" w14:textId="77777777" w:rsidR="00B80A45" w:rsidRDefault="00B80A45" w:rsidP="00B80A45">
            <w:pPr>
              <w:rPr>
                <w:rFonts w:cs="Arial"/>
                <w:b/>
                <w:color w:val="auto"/>
                <w:szCs w:val="22"/>
              </w:rPr>
            </w:pPr>
            <w:r w:rsidRPr="00A07A74">
              <w:rPr>
                <w:rFonts w:cs="Arial"/>
                <w:b/>
                <w:color w:val="auto"/>
                <w:szCs w:val="22"/>
              </w:rPr>
              <w:t>No</w:t>
            </w:r>
          </w:p>
          <w:p w14:paraId="7C890E62" w14:textId="1E58F062" w:rsidR="00B80A45" w:rsidRPr="00A07A74" w:rsidRDefault="00B80A45" w:rsidP="00B80A45">
            <w:pPr>
              <w:rPr>
                <w:rFonts w:cs="Arial"/>
                <w:color w:val="auto"/>
              </w:rPr>
            </w:pPr>
            <w:r w:rsidRPr="0083201B">
              <w:rPr>
                <w:rFonts w:cs="Arial"/>
              </w:rPr>
              <w:t>In the application of this policy, Lincolnshire police will not discriminate against any persons. There is nothing within the policy that is likely to create a different impact on any person who identifies as a</w:t>
            </w:r>
            <w:r>
              <w:rPr>
                <w:rFonts w:cs="Arial"/>
              </w:rPr>
              <w:t>ny gender</w:t>
            </w:r>
            <w:r w:rsidRPr="0083201B">
              <w:rPr>
                <w:rFonts w:cs="Arial"/>
              </w:rPr>
              <w:t xml:space="preserve"> group.</w:t>
            </w:r>
          </w:p>
        </w:tc>
      </w:tr>
      <w:tr w:rsidR="00B80A45" w14:paraId="67E69677" w14:textId="77777777" w:rsidTr="00B720DC">
        <w:trPr>
          <w:trHeight w:val="1002"/>
        </w:trPr>
        <w:tc>
          <w:tcPr>
            <w:tcW w:w="5240" w:type="dxa"/>
          </w:tcPr>
          <w:p w14:paraId="757A4BCB" w14:textId="77777777" w:rsidR="00B80A45" w:rsidRDefault="00B80A45" w:rsidP="00B80A45">
            <w:pPr>
              <w:rPr>
                <w:rFonts w:cs="Arial"/>
              </w:rPr>
            </w:pPr>
            <w:r>
              <w:rPr>
                <w:rFonts w:cs="Arial"/>
              </w:rPr>
              <w:t>What existing evidence (either presumed or otherwise) do you have for this?</w:t>
            </w:r>
          </w:p>
        </w:tc>
        <w:tc>
          <w:tcPr>
            <w:tcW w:w="8789" w:type="dxa"/>
          </w:tcPr>
          <w:p w14:paraId="6FBAAF5E" w14:textId="75278E65" w:rsidR="00B80A45" w:rsidRPr="00A07A74" w:rsidRDefault="00B80A45" w:rsidP="00B80A45">
            <w:r w:rsidRPr="0083201B">
              <w:t>This policy is based purely on concerns raised for an individual person by a private member of the public or a public body/partner agency. It will focus on the vulnerability of the individual balanced against police powers and liability. It is anticipated that this will transcend across the entire demographic population.</w:t>
            </w:r>
          </w:p>
        </w:tc>
      </w:tr>
      <w:tr w:rsidR="00B80A45" w14:paraId="117C885D" w14:textId="77777777" w:rsidTr="00B720DC">
        <w:trPr>
          <w:trHeight w:val="912"/>
        </w:trPr>
        <w:tc>
          <w:tcPr>
            <w:tcW w:w="5240" w:type="dxa"/>
          </w:tcPr>
          <w:p w14:paraId="14275409" w14:textId="3A11CE6C" w:rsidR="00B80A45" w:rsidRDefault="00B80A45" w:rsidP="00B80A45">
            <w:pPr>
              <w:rPr>
                <w:rFonts w:cs="Arial"/>
              </w:rPr>
            </w:pPr>
            <w:r>
              <w:rPr>
                <w:rFonts w:cs="Arial"/>
              </w:rPr>
              <w:t xml:space="preserve">10. Is there any likelihood the policy </w:t>
            </w:r>
            <w:r w:rsidRPr="00EC1851">
              <w:rPr>
                <w:rFonts w:cs="Arial"/>
                <w:b/>
                <w:bCs/>
              </w:rPr>
              <w:t xml:space="preserve">could </w:t>
            </w:r>
            <w:r>
              <w:rPr>
                <w:rFonts w:cs="Arial"/>
              </w:rPr>
              <w:t>have a differential impact on due disability?</w:t>
            </w:r>
          </w:p>
        </w:tc>
        <w:tc>
          <w:tcPr>
            <w:tcW w:w="8789" w:type="dxa"/>
          </w:tcPr>
          <w:p w14:paraId="15B889E6" w14:textId="77777777" w:rsidR="00B80A45" w:rsidRDefault="00B80A45" w:rsidP="00B80A45">
            <w:pPr>
              <w:rPr>
                <w:rFonts w:cs="Arial"/>
                <w:b/>
                <w:color w:val="auto"/>
                <w:szCs w:val="22"/>
              </w:rPr>
            </w:pPr>
            <w:r w:rsidRPr="00A07A74">
              <w:rPr>
                <w:rFonts w:cs="Arial"/>
                <w:b/>
                <w:color w:val="auto"/>
                <w:szCs w:val="22"/>
              </w:rPr>
              <w:t>No</w:t>
            </w:r>
          </w:p>
          <w:p w14:paraId="5DBF5DC0" w14:textId="71FA4BEC" w:rsidR="00B80A45" w:rsidRPr="00A07A74" w:rsidRDefault="00B80A45" w:rsidP="00B80A45">
            <w:pPr>
              <w:rPr>
                <w:rFonts w:cs="Arial"/>
                <w:color w:val="auto"/>
              </w:rPr>
            </w:pPr>
            <w:r w:rsidRPr="0083201B">
              <w:rPr>
                <w:rFonts w:cs="Arial"/>
              </w:rPr>
              <w:t xml:space="preserve">In the application of this policy, Lincolnshire police will not discriminate against any persons. There is nothing within the policy that is likely to create a different impact on any person who </w:t>
            </w:r>
            <w:r>
              <w:rPr>
                <w:rFonts w:cs="Arial"/>
              </w:rPr>
              <w:t>has a disability</w:t>
            </w:r>
            <w:r w:rsidRPr="0083201B">
              <w:rPr>
                <w:rFonts w:cs="Arial"/>
              </w:rPr>
              <w:t>.</w:t>
            </w:r>
          </w:p>
        </w:tc>
      </w:tr>
      <w:tr w:rsidR="00B80A45" w14:paraId="75C2074C" w14:textId="77777777" w:rsidTr="00B720DC">
        <w:trPr>
          <w:trHeight w:val="836"/>
        </w:trPr>
        <w:tc>
          <w:tcPr>
            <w:tcW w:w="5240" w:type="dxa"/>
          </w:tcPr>
          <w:p w14:paraId="718803B1" w14:textId="77777777" w:rsidR="00B80A45" w:rsidRDefault="00B80A45" w:rsidP="00B80A45">
            <w:pPr>
              <w:rPr>
                <w:rFonts w:cs="Arial"/>
              </w:rPr>
            </w:pPr>
            <w:r>
              <w:rPr>
                <w:rFonts w:cs="Arial"/>
              </w:rPr>
              <w:t>What existing evidence (either presumed or otherwise) do you have for this?</w:t>
            </w:r>
          </w:p>
        </w:tc>
        <w:tc>
          <w:tcPr>
            <w:tcW w:w="8789" w:type="dxa"/>
          </w:tcPr>
          <w:p w14:paraId="1E2B149A" w14:textId="37C0CD7A" w:rsidR="00B80A45" w:rsidRPr="00A07A74" w:rsidRDefault="00B80A45" w:rsidP="00B80A45">
            <w:pPr>
              <w:rPr>
                <w:rFonts w:cs="Arial"/>
                <w:color w:val="auto"/>
              </w:rPr>
            </w:pPr>
            <w:r w:rsidRPr="0083201B">
              <w:t>This policy is based purely on concerns raised for an individual person by a private member of the public or a public body/partner agency. It will focus on the vulnerability of the individual balanced against police powers and liability. It is anticipated that this will transcend across the entire demographic population.</w:t>
            </w:r>
          </w:p>
        </w:tc>
      </w:tr>
      <w:tr w:rsidR="00B80A45" w14:paraId="31CCA1DF" w14:textId="77777777" w:rsidTr="00B720DC">
        <w:trPr>
          <w:trHeight w:val="888"/>
        </w:trPr>
        <w:tc>
          <w:tcPr>
            <w:tcW w:w="5240" w:type="dxa"/>
          </w:tcPr>
          <w:p w14:paraId="2F9EE705" w14:textId="77777777" w:rsidR="00B80A45" w:rsidRDefault="00B80A45" w:rsidP="00B80A45">
            <w:pPr>
              <w:rPr>
                <w:rFonts w:cs="Arial"/>
              </w:rPr>
            </w:pPr>
            <w:r>
              <w:rPr>
                <w:rFonts w:cs="Arial"/>
              </w:rPr>
              <w:lastRenderedPageBreak/>
              <w:t xml:space="preserve">11. Is there any likelihood the policy </w:t>
            </w:r>
            <w:r w:rsidRPr="00EC1851">
              <w:rPr>
                <w:rFonts w:cs="Arial"/>
                <w:b/>
                <w:bCs/>
              </w:rPr>
              <w:t xml:space="preserve">could </w:t>
            </w:r>
            <w:r>
              <w:rPr>
                <w:rFonts w:cs="Arial"/>
              </w:rPr>
              <w:t>have a differential impact on people due to sexual orientation?</w:t>
            </w:r>
          </w:p>
        </w:tc>
        <w:tc>
          <w:tcPr>
            <w:tcW w:w="8789" w:type="dxa"/>
          </w:tcPr>
          <w:p w14:paraId="5A2B295F" w14:textId="77777777" w:rsidR="00B80A45" w:rsidRDefault="00B80A45" w:rsidP="00B80A45">
            <w:pPr>
              <w:rPr>
                <w:rFonts w:cs="Arial"/>
                <w:b/>
                <w:color w:val="auto"/>
                <w:szCs w:val="22"/>
              </w:rPr>
            </w:pPr>
            <w:r w:rsidRPr="00A07A74">
              <w:rPr>
                <w:rFonts w:cs="Arial"/>
                <w:b/>
                <w:color w:val="auto"/>
                <w:szCs w:val="22"/>
              </w:rPr>
              <w:t>No</w:t>
            </w:r>
          </w:p>
          <w:p w14:paraId="3AFDB319" w14:textId="70DF6DBA" w:rsidR="00B80A45" w:rsidRPr="00A07A74" w:rsidRDefault="00B80A45" w:rsidP="00B80A45">
            <w:pPr>
              <w:rPr>
                <w:rFonts w:cs="Arial"/>
                <w:color w:val="auto"/>
              </w:rPr>
            </w:pPr>
            <w:r w:rsidRPr="0083201B">
              <w:rPr>
                <w:rFonts w:cs="Arial"/>
              </w:rPr>
              <w:t xml:space="preserve">In the application of this policy, Lincolnshire police will not discriminate against any persons. There is nothing within the policy that is likely to create a different impact on any person </w:t>
            </w:r>
            <w:r>
              <w:rPr>
                <w:rFonts w:cs="Arial"/>
              </w:rPr>
              <w:t>regardless of sexual orientation</w:t>
            </w:r>
            <w:r w:rsidRPr="0083201B">
              <w:rPr>
                <w:rFonts w:cs="Arial"/>
              </w:rPr>
              <w:t>.</w:t>
            </w:r>
          </w:p>
        </w:tc>
      </w:tr>
      <w:tr w:rsidR="00B80A45" w14:paraId="6160E07B" w14:textId="77777777" w:rsidTr="00B720DC">
        <w:trPr>
          <w:trHeight w:val="798"/>
        </w:trPr>
        <w:tc>
          <w:tcPr>
            <w:tcW w:w="5240" w:type="dxa"/>
          </w:tcPr>
          <w:p w14:paraId="126AAF0C" w14:textId="77777777" w:rsidR="00B80A45" w:rsidRDefault="00B80A45" w:rsidP="00B80A45">
            <w:pPr>
              <w:rPr>
                <w:rFonts w:cs="Arial"/>
              </w:rPr>
            </w:pPr>
            <w:r>
              <w:rPr>
                <w:rFonts w:cs="Arial"/>
              </w:rPr>
              <w:t>What existing evidence (either presumed or otherwise) do you have for this?</w:t>
            </w:r>
          </w:p>
        </w:tc>
        <w:tc>
          <w:tcPr>
            <w:tcW w:w="8789" w:type="dxa"/>
          </w:tcPr>
          <w:p w14:paraId="21CA1A55" w14:textId="0C5B3731" w:rsidR="00B80A45" w:rsidRPr="00A07A74" w:rsidRDefault="00B80A45" w:rsidP="00B80A45">
            <w:pPr>
              <w:rPr>
                <w:rFonts w:cs="Arial"/>
                <w:color w:val="auto"/>
              </w:rPr>
            </w:pPr>
            <w:r w:rsidRPr="0083201B">
              <w:t>This policy is based purely on concerns raised for an individual person by a private member of the public or a public body/partner agency. It will focus on the vulnerability of the individual balanced against police powers and liability. It is anticipated that this will transcend across the entire demographic population.</w:t>
            </w:r>
          </w:p>
        </w:tc>
      </w:tr>
      <w:tr w:rsidR="00B80A45" w14:paraId="0DEDCE32" w14:textId="77777777" w:rsidTr="00B720DC">
        <w:trPr>
          <w:trHeight w:val="838"/>
        </w:trPr>
        <w:tc>
          <w:tcPr>
            <w:tcW w:w="5240" w:type="dxa"/>
          </w:tcPr>
          <w:p w14:paraId="5C90B1F6" w14:textId="77777777" w:rsidR="00B80A45" w:rsidRDefault="00B80A45" w:rsidP="00B80A45">
            <w:pPr>
              <w:rPr>
                <w:rFonts w:cs="Arial"/>
              </w:rPr>
            </w:pPr>
            <w:r>
              <w:rPr>
                <w:rFonts w:cs="Arial"/>
              </w:rPr>
              <w:t xml:space="preserve">12. Is there any likelihood the policy </w:t>
            </w:r>
            <w:r w:rsidRPr="00EC1851">
              <w:rPr>
                <w:rFonts w:cs="Arial"/>
                <w:b/>
                <w:bCs/>
              </w:rPr>
              <w:t xml:space="preserve">could </w:t>
            </w:r>
            <w:r>
              <w:rPr>
                <w:rFonts w:cs="Arial"/>
              </w:rPr>
              <w:t>have a differential impact on people due to their age?</w:t>
            </w:r>
          </w:p>
        </w:tc>
        <w:tc>
          <w:tcPr>
            <w:tcW w:w="8789" w:type="dxa"/>
          </w:tcPr>
          <w:p w14:paraId="468175A0" w14:textId="2B3A688C" w:rsidR="00B80A45" w:rsidRDefault="00A95A0A" w:rsidP="00B80A45">
            <w:pPr>
              <w:rPr>
                <w:rFonts w:cs="Arial"/>
                <w:b/>
                <w:color w:val="auto"/>
                <w:szCs w:val="22"/>
              </w:rPr>
            </w:pPr>
            <w:r>
              <w:rPr>
                <w:rFonts w:cs="Arial"/>
                <w:b/>
                <w:color w:val="auto"/>
                <w:szCs w:val="22"/>
              </w:rPr>
              <w:t>YES</w:t>
            </w:r>
          </w:p>
          <w:p w14:paraId="573B02F8" w14:textId="143BF80F" w:rsidR="00B80A45" w:rsidRPr="00A07A74" w:rsidRDefault="00B80A45" w:rsidP="00B80A45">
            <w:pPr>
              <w:rPr>
                <w:b/>
                <w:bCs/>
                <w:color w:val="auto"/>
              </w:rPr>
            </w:pPr>
          </w:p>
        </w:tc>
      </w:tr>
      <w:tr w:rsidR="00B80A45" w14:paraId="7ECBED34" w14:textId="77777777" w:rsidTr="00B720DC">
        <w:trPr>
          <w:trHeight w:val="1116"/>
        </w:trPr>
        <w:tc>
          <w:tcPr>
            <w:tcW w:w="5240" w:type="dxa"/>
          </w:tcPr>
          <w:p w14:paraId="770C0F6E" w14:textId="62874B0B" w:rsidR="00B80A45" w:rsidRDefault="00B80A45" w:rsidP="00B80A45">
            <w:pPr>
              <w:rPr>
                <w:rFonts w:cs="Arial"/>
              </w:rPr>
            </w:pPr>
            <w:r>
              <w:rPr>
                <w:rFonts w:cs="Arial"/>
              </w:rPr>
              <w:t xml:space="preserve">12a. Is there any likelihood the policy </w:t>
            </w:r>
            <w:r w:rsidRPr="00EC1851">
              <w:rPr>
                <w:rFonts w:cs="Arial"/>
                <w:b/>
                <w:bCs/>
              </w:rPr>
              <w:t xml:space="preserve">could </w:t>
            </w:r>
            <w:r w:rsidRPr="00EC1851">
              <w:rPr>
                <w:rFonts w:cs="Arial"/>
              </w:rPr>
              <w:t>ha</w:t>
            </w:r>
            <w:r>
              <w:rPr>
                <w:rFonts w:cs="Arial"/>
              </w:rPr>
              <w:t>ve a differential impact on Young People and Children?</w:t>
            </w:r>
          </w:p>
        </w:tc>
        <w:tc>
          <w:tcPr>
            <w:tcW w:w="8789" w:type="dxa"/>
          </w:tcPr>
          <w:p w14:paraId="2DFDDB1F" w14:textId="5C6A86EB" w:rsidR="00B80A45" w:rsidRPr="00A07A74" w:rsidRDefault="0007707C" w:rsidP="00B80A45">
            <w:pPr>
              <w:rPr>
                <w:b/>
                <w:bCs/>
                <w:color w:val="auto"/>
              </w:rPr>
            </w:pPr>
            <w:r w:rsidRPr="0083201B">
              <w:rPr>
                <w:rFonts w:cs="Arial"/>
              </w:rPr>
              <w:t>In the application of this policy, Lincolnshire police will discriminate against any persons</w:t>
            </w:r>
            <w:r>
              <w:rPr>
                <w:rFonts w:cs="Arial"/>
              </w:rPr>
              <w:t xml:space="preserve"> under the age of 1</w:t>
            </w:r>
            <w:r w:rsidR="00C47EE7">
              <w:rPr>
                <w:rFonts w:cs="Arial"/>
              </w:rPr>
              <w:t>8</w:t>
            </w:r>
            <w:r>
              <w:rPr>
                <w:rFonts w:cs="Arial"/>
              </w:rPr>
              <w:t xml:space="preserve"> years who is a victim of domestic abuse</w:t>
            </w:r>
            <w:r w:rsidRPr="0083201B">
              <w:rPr>
                <w:rFonts w:cs="Arial"/>
              </w:rPr>
              <w:t xml:space="preserve">. The </w:t>
            </w:r>
            <w:r>
              <w:rPr>
                <w:rFonts w:cs="Arial"/>
              </w:rPr>
              <w:t>DA legislation only caters for offences where one party is 16 years or older. Th</w:t>
            </w:r>
            <w:r w:rsidRPr="0083201B">
              <w:rPr>
                <w:rFonts w:cs="Arial"/>
              </w:rPr>
              <w:t xml:space="preserve">is </w:t>
            </w:r>
            <w:r>
              <w:rPr>
                <w:rFonts w:cs="Arial"/>
              </w:rPr>
              <w:t xml:space="preserve">will </w:t>
            </w:r>
            <w:r w:rsidRPr="0083201B">
              <w:rPr>
                <w:rFonts w:cs="Arial"/>
              </w:rPr>
              <w:t xml:space="preserve">likely create a different impact on any person </w:t>
            </w:r>
            <w:r>
              <w:rPr>
                <w:rFonts w:cs="Arial"/>
              </w:rPr>
              <w:t>under 1</w:t>
            </w:r>
            <w:r w:rsidR="00C47EE7">
              <w:rPr>
                <w:rFonts w:cs="Arial"/>
              </w:rPr>
              <w:t>8</w:t>
            </w:r>
            <w:r>
              <w:rPr>
                <w:rFonts w:cs="Arial"/>
              </w:rPr>
              <w:t xml:space="preserve"> years of age</w:t>
            </w:r>
            <w:r w:rsidR="00BE6040">
              <w:rPr>
                <w:rFonts w:cs="Arial"/>
              </w:rPr>
              <w:t xml:space="preserve">. It cannot be discounted that a </w:t>
            </w:r>
            <w:proofErr w:type="gramStart"/>
            <w:r w:rsidR="00BE6040">
              <w:rPr>
                <w:rFonts w:cs="Arial"/>
              </w:rPr>
              <w:t>16 year old</w:t>
            </w:r>
            <w:proofErr w:type="gramEnd"/>
            <w:r w:rsidR="00BE6040">
              <w:rPr>
                <w:rFonts w:cs="Arial"/>
              </w:rPr>
              <w:t xml:space="preserve"> may be eligible for the product and will be assessed on a case by case basis.</w:t>
            </w:r>
          </w:p>
        </w:tc>
      </w:tr>
      <w:tr w:rsidR="00B80A45" w14:paraId="6AC12909" w14:textId="77777777" w:rsidTr="00B720DC">
        <w:trPr>
          <w:trHeight w:val="885"/>
        </w:trPr>
        <w:tc>
          <w:tcPr>
            <w:tcW w:w="5240" w:type="dxa"/>
          </w:tcPr>
          <w:p w14:paraId="7057E5E3" w14:textId="77777777" w:rsidR="00B80A45" w:rsidRDefault="00B80A45" w:rsidP="00B80A45">
            <w:pPr>
              <w:rPr>
                <w:rFonts w:cs="Arial"/>
              </w:rPr>
            </w:pPr>
            <w:r>
              <w:rPr>
                <w:rFonts w:cs="Arial"/>
              </w:rPr>
              <w:t>What existing evidence (either presumed or otherwise) do you have for this?</w:t>
            </w:r>
          </w:p>
        </w:tc>
        <w:tc>
          <w:tcPr>
            <w:tcW w:w="8789" w:type="dxa"/>
          </w:tcPr>
          <w:p w14:paraId="771B3B5C" w14:textId="0B98F8A5" w:rsidR="00B80A45" w:rsidRPr="00A07A74" w:rsidRDefault="0007707C" w:rsidP="00B80A45">
            <w:pPr>
              <w:rPr>
                <w:rFonts w:cs="Arial"/>
                <w:color w:val="auto"/>
              </w:rPr>
            </w:pPr>
            <w:r w:rsidRPr="0083201B">
              <w:t xml:space="preserve">This policy is based purely on concerns raised for an individual person by a private member of the public or a public body/partner agency. It will focus on the vulnerability of the individual balanced against police powers and liability. It is anticipated that this will </w:t>
            </w:r>
            <w:r>
              <w:t xml:space="preserve">NOT </w:t>
            </w:r>
            <w:r w:rsidRPr="0083201B">
              <w:t xml:space="preserve">transcend across the entire demographic </w:t>
            </w:r>
            <w:r w:rsidRPr="0083201B">
              <w:lastRenderedPageBreak/>
              <w:t>population</w:t>
            </w:r>
            <w:r>
              <w:t xml:space="preserve"> where the individual is under 1</w:t>
            </w:r>
            <w:r w:rsidR="00C47EE7">
              <w:t>8</w:t>
            </w:r>
            <w:r>
              <w:t xml:space="preserve"> years of age</w:t>
            </w:r>
            <w:r w:rsidR="00BE6040">
              <w:t xml:space="preserve"> but will be assessed on </w:t>
            </w:r>
            <w:proofErr w:type="spellStart"/>
            <w:proofErr w:type="gramStart"/>
            <w:r w:rsidR="00BE6040">
              <w:t>it’s</w:t>
            </w:r>
            <w:proofErr w:type="spellEnd"/>
            <w:proofErr w:type="gramEnd"/>
            <w:r w:rsidR="00BE6040">
              <w:t xml:space="preserve"> own merits.</w:t>
            </w:r>
          </w:p>
        </w:tc>
      </w:tr>
      <w:tr w:rsidR="00B80A45" w14:paraId="037F297E" w14:textId="77777777" w:rsidTr="00B720DC">
        <w:trPr>
          <w:trHeight w:val="952"/>
        </w:trPr>
        <w:tc>
          <w:tcPr>
            <w:tcW w:w="5240" w:type="dxa"/>
          </w:tcPr>
          <w:p w14:paraId="0F503EC6" w14:textId="7B56D067" w:rsidR="00B80A45" w:rsidRDefault="00B80A45" w:rsidP="00B80A45">
            <w:pPr>
              <w:rPr>
                <w:rFonts w:cs="Arial"/>
              </w:rPr>
            </w:pPr>
            <w:r>
              <w:rPr>
                <w:rFonts w:cs="Arial"/>
              </w:rPr>
              <w:lastRenderedPageBreak/>
              <w:t xml:space="preserve">12b. Is there any likelihood the </w:t>
            </w:r>
            <w:r w:rsidRPr="00EC1851">
              <w:rPr>
                <w:rFonts w:cs="Arial"/>
              </w:rPr>
              <w:t xml:space="preserve">policy </w:t>
            </w:r>
            <w:r w:rsidRPr="00EC1851">
              <w:rPr>
                <w:rFonts w:cs="Arial"/>
                <w:b/>
                <w:bCs/>
              </w:rPr>
              <w:t xml:space="preserve">could </w:t>
            </w:r>
            <w:r w:rsidRPr="00EC1851">
              <w:rPr>
                <w:rFonts w:cs="Arial"/>
              </w:rPr>
              <w:t>have</w:t>
            </w:r>
            <w:r>
              <w:rPr>
                <w:rFonts w:cs="Arial"/>
              </w:rPr>
              <w:t xml:space="preserve"> a differential impact on Older People?</w:t>
            </w:r>
          </w:p>
        </w:tc>
        <w:tc>
          <w:tcPr>
            <w:tcW w:w="8789" w:type="dxa"/>
          </w:tcPr>
          <w:p w14:paraId="4AB208BF" w14:textId="77777777" w:rsidR="0007707C" w:rsidRDefault="0007707C" w:rsidP="0007707C">
            <w:pPr>
              <w:rPr>
                <w:rFonts w:cs="Arial"/>
                <w:b/>
                <w:color w:val="auto"/>
                <w:szCs w:val="22"/>
              </w:rPr>
            </w:pPr>
            <w:r w:rsidRPr="00A07A74">
              <w:rPr>
                <w:rFonts w:cs="Arial"/>
                <w:b/>
                <w:color w:val="auto"/>
                <w:szCs w:val="22"/>
              </w:rPr>
              <w:t>No</w:t>
            </w:r>
          </w:p>
          <w:p w14:paraId="57C6DFA9" w14:textId="51CAECD0" w:rsidR="00B80A45" w:rsidRPr="0005489F" w:rsidRDefault="0007707C" w:rsidP="0007707C">
            <w:pPr>
              <w:rPr>
                <w:color w:val="auto"/>
              </w:rPr>
            </w:pPr>
            <w:r w:rsidRPr="0083201B">
              <w:rPr>
                <w:rFonts w:cs="Arial"/>
              </w:rPr>
              <w:t>In the application of this policy, Lincolnshire police will not discriminate against any persons</w:t>
            </w:r>
            <w:r>
              <w:rPr>
                <w:rFonts w:cs="Arial"/>
              </w:rPr>
              <w:t xml:space="preserve"> 16 years or older</w:t>
            </w:r>
            <w:r w:rsidRPr="0083201B">
              <w:rPr>
                <w:rFonts w:cs="Arial"/>
              </w:rPr>
              <w:t xml:space="preserve">. There is nothing within the policy that is likely to create a different impact on any person </w:t>
            </w:r>
            <w:r>
              <w:rPr>
                <w:rFonts w:cs="Arial"/>
              </w:rPr>
              <w:t>over the age of 16</w:t>
            </w:r>
            <w:r w:rsidRPr="0083201B">
              <w:rPr>
                <w:rFonts w:cs="Arial"/>
              </w:rPr>
              <w:t>.</w:t>
            </w:r>
          </w:p>
        </w:tc>
      </w:tr>
      <w:tr w:rsidR="00B80A45" w14:paraId="2DF7DA86" w14:textId="77777777" w:rsidTr="00B720DC">
        <w:trPr>
          <w:trHeight w:val="1002"/>
        </w:trPr>
        <w:tc>
          <w:tcPr>
            <w:tcW w:w="5240" w:type="dxa"/>
          </w:tcPr>
          <w:p w14:paraId="40678B1C" w14:textId="77777777" w:rsidR="00B80A45" w:rsidRDefault="00B80A45" w:rsidP="00B80A45">
            <w:pPr>
              <w:rPr>
                <w:rFonts w:cs="Arial"/>
              </w:rPr>
            </w:pPr>
            <w:r>
              <w:rPr>
                <w:rFonts w:cs="Arial"/>
              </w:rPr>
              <w:t>What existing evidence (either presumed or otherwise) do you have for this?</w:t>
            </w:r>
          </w:p>
        </w:tc>
        <w:tc>
          <w:tcPr>
            <w:tcW w:w="8789" w:type="dxa"/>
          </w:tcPr>
          <w:p w14:paraId="5F507DD2" w14:textId="76B4BB2D" w:rsidR="00B80A45" w:rsidRPr="00A07A74" w:rsidRDefault="0007707C" w:rsidP="00B80A45">
            <w:pPr>
              <w:rPr>
                <w:rFonts w:cs="Arial"/>
                <w:color w:val="auto"/>
              </w:rPr>
            </w:pPr>
            <w:r w:rsidRPr="0083201B">
              <w:t>This policy is based purely on concerns raised for an individual person by a private member of the public or a public body/partner agency. It will focus on the vulnerability of the individual balanced against police powers and liability. It is anticipated that this will transcend across the entire demographic population</w:t>
            </w:r>
            <w:r>
              <w:t xml:space="preserve"> 16 years or above</w:t>
            </w:r>
            <w:r w:rsidRPr="0083201B">
              <w:t>.</w:t>
            </w:r>
          </w:p>
        </w:tc>
      </w:tr>
      <w:tr w:rsidR="00B80A45" w14:paraId="433A9A5D" w14:textId="77777777" w:rsidTr="00B720DC">
        <w:trPr>
          <w:trHeight w:val="912"/>
        </w:trPr>
        <w:tc>
          <w:tcPr>
            <w:tcW w:w="5240" w:type="dxa"/>
          </w:tcPr>
          <w:p w14:paraId="18871C7A" w14:textId="77777777" w:rsidR="00B80A45" w:rsidRDefault="00B80A45" w:rsidP="00B80A45">
            <w:pPr>
              <w:rPr>
                <w:rFonts w:cs="Arial"/>
              </w:rPr>
            </w:pPr>
            <w:r>
              <w:rPr>
                <w:rFonts w:cs="Arial"/>
              </w:rPr>
              <w:t xml:space="preserve">13. Is there any likelihood the </w:t>
            </w:r>
            <w:r w:rsidRPr="00EC1851">
              <w:rPr>
                <w:rFonts w:cs="Arial"/>
              </w:rPr>
              <w:t xml:space="preserve">policy </w:t>
            </w:r>
            <w:r w:rsidRPr="00EC1851">
              <w:rPr>
                <w:rFonts w:cs="Arial"/>
                <w:b/>
                <w:bCs/>
              </w:rPr>
              <w:t xml:space="preserve">could </w:t>
            </w:r>
            <w:r w:rsidRPr="00EC1851">
              <w:rPr>
                <w:rFonts w:cs="Arial"/>
              </w:rPr>
              <w:t>have</w:t>
            </w:r>
            <w:r>
              <w:rPr>
                <w:rFonts w:cs="Arial"/>
              </w:rPr>
              <w:t xml:space="preserve"> a differential impact on people due to their religious belief?</w:t>
            </w:r>
          </w:p>
        </w:tc>
        <w:tc>
          <w:tcPr>
            <w:tcW w:w="8789" w:type="dxa"/>
          </w:tcPr>
          <w:p w14:paraId="109CB98D" w14:textId="77777777" w:rsidR="0007707C" w:rsidRDefault="0007707C" w:rsidP="0007707C">
            <w:pPr>
              <w:rPr>
                <w:rFonts w:cs="Arial"/>
                <w:b/>
                <w:color w:val="auto"/>
                <w:szCs w:val="22"/>
              </w:rPr>
            </w:pPr>
            <w:r w:rsidRPr="00A07A74">
              <w:rPr>
                <w:rFonts w:cs="Arial"/>
                <w:b/>
                <w:color w:val="auto"/>
                <w:szCs w:val="22"/>
              </w:rPr>
              <w:t>No</w:t>
            </w:r>
          </w:p>
          <w:p w14:paraId="4A4E91C2" w14:textId="2703F289" w:rsidR="00B80A45" w:rsidRPr="00A07A74" w:rsidRDefault="0007707C" w:rsidP="0007707C">
            <w:pPr>
              <w:rPr>
                <w:b/>
                <w:bCs/>
                <w:color w:val="auto"/>
              </w:rPr>
            </w:pPr>
            <w:r w:rsidRPr="0083201B">
              <w:rPr>
                <w:rFonts w:cs="Arial"/>
              </w:rPr>
              <w:t xml:space="preserve">In the application of this policy, Lincolnshire police will not discriminate against any persons. There is nothing within the policy that is likely to create a different impact on any person who </w:t>
            </w:r>
            <w:r>
              <w:rPr>
                <w:rFonts w:cs="Arial"/>
              </w:rPr>
              <w:t>has any religious beliefs or otherwise</w:t>
            </w:r>
            <w:r w:rsidRPr="0083201B">
              <w:rPr>
                <w:rFonts w:cs="Arial"/>
              </w:rPr>
              <w:t>.</w:t>
            </w:r>
            <w:r w:rsidR="00794B39">
              <w:rPr>
                <w:rFonts w:cs="Arial"/>
              </w:rPr>
              <w:t xml:space="preserve"> The product is wholly vegan.</w:t>
            </w:r>
          </w:p>
        </w:tc>
      </w:tr>
      <w:tr w:rsidR="00B80A45" w14:paraId="5E46D7FE" w14:textId="77777777" w:rsidTr="00B720DC">
        <w:trPr>
          <w:trHeight w:val="836"/>
        </w:trPr>
        <w:tc>
          <w:tcPr>
            <w:tcW w:w="5240" w:type="dxa"/>
          </w:tcPr>
          <w:p w14:paraId="3A40C84A" w14:textId="77777777" w:rsidR="00B80A45" w:rsidRDefault="00B80A45" w:rsidP="00B80A45">
            <w:pPr>
              <w:rPr>
                <w:rFonts w:cs="Arial"/>
              </w:rPr>
            </w:pPr>
            <w:r>
              <w:rPr>
                <w:rFonts w:cs="Arial"/>
              </w:rPr>
              <w:t>What existing evidence (either presumed or otherwise) do you have for this?</w:t>
            </w:r>
          </w:p>
        </w:tc>
        <w:tc>
          <w:tcPr>
            <w:tcW w:w="8789" w:type="dxa"/>
          </w:tcPr>
          <w:p w14:paraId="4608E505" w14:textId="7499FC6C" w:rsidR="00B80A45" w:rsidRPr="00A07A74" w:rsidRDefault="0007707C" w:rsidP="00B80A45">
            <w:pPr>
              <w:rPr>
                <w:rFonts w:cs="Arial"/>
                <w:color w:val="auto"/>
              </w:rPr>
            </w:pPr>
            <w:r w:rsidRPr="0083201B">
              <w:t>This policy is based purely on concerns raised for an individual person by a private member of the public or a public body/partner agency. It will focus on the vulnerability of the individual balanced against police powers and liability. It is anticipated that this will transcend across the entire demographic population.</w:t>
            </w:r>
          </w:p>
        </w:tc>
      </w:tr>
      <w:tr w:rsidR="00B80A45" w14:paraId="490F3554" w14:textId="77777777" w:rsidTr="00B720DC">
        <w:trPr>
          <w:trHeight w:val="888"/>
        </w:trPr>
        <w:tc>
          <w:tcPr>
            <w:tcW w:w="5240" w:type="dxa"/>
          </w:tcPr>
          <w:p w14:paraId="5ED909AE" w14:textId="3BEA291E" w:rsidR="00B80A45" w:rsidRDefault="00B80A45" w:rsidP="00B80A45">
            <w:pPr>
              <w:rPr>
                <w:rFonts w:cs="Arial"/>
              </w:rPr>
            </w:pPr>
            <w:r>
              <w:rPr>
                <w:rFonts w:cs="Arial"/>
              </w:rPr>
              <w:lastRenderedPageBreak/>
              <w:t xml:space="preserve">14. Is there any likelihood the </w:t>
            </w:r>
            <w:r w:rsidRPr="00EC1851">
              <w:rPr>
                <w:rFonts w:cs="Arial"/>
              </w:rPr>
              <w:t xml:space="preserve">policy </w:t>
            </w:r>
            <w:r w:rsidRPr="00EC1851">
              <w:rPr>
                <w:rFonts w:cs="Arial"/>
                <w:b/>
                <w:bCs/>
              </w:rPr>
              <w:t xml:space="preserve">could </w:t>
            </w:r>
            <w:r w:rsidRPr="00EC1851">
              <w:rPr>
                <w:rFonts w:cs="Arial"/>
              </w:rPr>
              <w:t>have</w:t>
            </w:r>
            <w:r>
              <w:rPr>
                <w:rFonts w:cs="Arial"/>
              </w:rPr>
              <w:t xml:space="preserve"> a differential impact on people due to them having dependants/caring responsibilities?</w:t>
            </w:r>
          </w:p>
        </w:tc>
        <w:tc>
          <w:tcPr>
            <w:tcW w:w="8789" w:type="dxa"/>
          </w:tcPr>
          <w:p w14:paraId="7D88005E" w14:textId="77777777" w:rsidR="0007707C" w:rsidRDefault="0007707C" w:rsidP="0007707C">
            <w:pPr>
              <w:rPr>
                <w:rFonts w:cs="Arial"/>
                <w:b/>
                <w:color w:val="auto"/>
                <w:szCs w:val="22"/>
              </w:rPr>
            </w:pPr>
            <w:r w:rsidRPr="00A07A74">
              <w:rPr>
                <w:rFonts w:cs="Arial"/>
                <w:b/>
                <w:color w:val="auto"/>
                <w:szCs w:val="22"/>
              </w:rPr>
              <w:t>No</w:t>
            </w:r>
          </w:p>
          <w:p w14:paraId="308DC018" w14:textId="33DA1AAB" w:rsidR="00B80A45" w:rsidRPr="00A07A74" w:rsidRDefault="0007707C" w:rsidP="0007707C">
            <w:pPr>
              <w:rPr>
                <w:b/>
                <w:bCs/>
                <w:color w:val="auto"/>
              </w:rPr>
            </w:pPr>
            <w:r w:rsidRPr="0083201B">
              <w:rPr>
                <w:rFonts w:cs="Arial"/>
              </w:rPr>
              <w:t xml:space="preserve">In the application of this policy, Lincolnshire police will not discriminate against any persons. There is nothing within the policy that is likely to create a different impact on any person who </w:t>
            </w:r>
            <w:r>
              <w:rPr>
                <w:rFonts w:cs="Arial"/>
              </w:rPr>
              <w:t>has dependant or caring responsibilities</w:t>
            </w:r>
            <w:r w:rsidRPr="0083201B">
              <w:rPr>
                <w:rFonts w:cs="Arial"/>
              </w:rPr>
              <w:t>.</w:t>
            </w:r>
          </w:p>
        </w:tc>
      </w:tr>
      <w:tr w:rsidR="00B80A45" w14:paraId="59B33F18" w14:textId="77777777" w:rsidTr="00B720DC">
        <w:trPr>
          <w:trHeight w:val="798"/>
        </w:trPr>
        <w:tc>
          <w:tcPr>
            <w:tcW w:w="5240" w:type="dxa"/>
          </w:tcPr>
          <w:p w14:paraId="677DC4D5" w14:textId="77777777" w:rsidR="00B80A45" w:rsidRDefault="00B80A45" w:rsidP="00B80A45">
            <w:pPr>
              <w:rPr>
                <w:rFonts w:cs="Arial"/>
              </w:rPr>
            </w:pPr>
            <w:r>
              <w:rPr>
                <w:rFonts w:cs="Arial"/>
              </w:rPr>
              <w:t>What existing evidence (either presumed or otherwise) do you have for this?</w:t>
            </w:r>
          </w:p>
        </w:tc>
        <w:tc>
          <w:tcPr>
            <w:tcW w:w="8789" w:type="dxa"/>
          </w:tcPr>
          <w:p w14:paraId="7CDD87E4" w14:textId="5275C21B" w:rsidR="00B80A45" w:rsidRPr="00A07A74" w:rsidRDefault="0007707C" w:rsidP="00B80A45">
            <w:pPr>
              <w:rPr>
                <w:rFonts w:cs="Arial"/>
                <w:color w:val="auto"/>
              </w:rPr>
            </w:pPr>
            <w:r w:rsidRPr="0083201B">
              <w:t>This policy is based purely on concerns raised for an individual person by a private member of the public or a public body/partner agency. It will focus on the vulnerability of the individual balanced against police powers and liability. It is anticipated that this will transcend across the entire demographic population.</w:t>
            </w:r>
          </w:p>
        </w:tc>
      </w:tr>
      <w:tr w:rsidR="00B80A45" w14:paraId="438F18A2" w14:textId="77777777" w:rsidTr="00B720DC">
        <w:trPr>
          <w:trHeight w:val="1116"/>
        </w:trPr>
        <w:tc>
          <w:tcPr>
            <w:tcW w:w="5240" w:type="dxa"/>
          </w:tcPr>
          <w:p w14:paraId="4C8872EE" w14:textId="77777777" w:rsidR="00B80A45" w:rsidRPr="002B3C8E" w:rsidRDefault="00B80A45" w:rsidP="00B80A45">
            <w:pPr>
              <w:rPr>
                <w:rFonts w:cs="Arial"/>
              </w:rPr>
            </w:pPr>
            <w:r w:rsidRPr="002B3C8E">
              <w:rPr>
                <w:rFonts w:cs="Arial"/>
              </w:rPr>
              <w:t xml:space="preserve">15. Is there any likelihood </w:t>
            </w:r>
            <w:r>
              <w:rPr>
                <w:rFonts w:cs="Arial"/>
              </w:rPr>
              <w:t>t</w:t>
            </w:r>
            <w:r w:rsidRPr="002B3C8E">
              <w:rPr>
                <w:rFonts w:cs="Arial"/>
              </w:rPr>
              <w:t xml:space="preserve">he </w:t>
            </w:r>
            <w:r w:rsidRPr="00EC1851">
              <w:rPr>
                <w:rFonts w:cs="Arial"/>
              </w:rPr>
              <w:t xml:space="preserve">activity </w:t>
            </w:r>
            <w:r w:rsidRPr="00EC1851">
              <w:rPr>
                <w:rFonts w:cs="Arial"/>
                <w:b/>
                <w:bCs/>
              </w:rPr>
              <w:t>could</w:t>
            </w:r>
            <w:r w:rsidRPr="00EC1851">
              <w:rPr>
                <w:rFonts w:cs="Arial"/>
              </w:rPr>
              <w:t xml:space="preserve"> have</w:t>
            </w:r>
            <w:r w:rsidRPr="002B3C8E">
              <w:rPr>
                <w:rFonts w:cs="Arial"/>
              </w:rPr>
              <w:t xml:space="preserve"> a differential impact on people due to Marriage or Civil partnership?</w:t>
            </w:r>
          </w:p>
        </w:tc>
        <w:tc>
          <w:tcPr>
            <w:tcW w:w="8789" w:type="dxa"/>
          </w:tcPr>
          <w:p w14:paraId="513DDB53" w14:textId="77777777" w:rsidR="0007707C" w:rsidRDefault="0007707C" w:rsidP="0007707C">
            <w:pPr>
              <w:rPr>
                <w:rFonts w:cs="Arial"/>
                <w:b/>
                <w:color w:val="auto"/>
                <w:szCs w:val="22"/>
              </w:rPr>
            </w:pPr>
            <w:r w:rsidRPr="00A07A74">
              <w:rPr>
                <w:rFonts w:cs="Arial"/>
                <w:b/>
                <w:color w:val="auto"/>
                <w:szCs w:val="22"/>
              </w:rPr>
              <w:t>No</w:t>
            </w:r>
          </w:p>
          <w:p w14:paraId="1E0BBE45" w14:textId="2CF489F0" w:rsidR="00B80A45" w:rsidRPr="00A07A74" w:rsidRDefault="0007707C" w:rsidP="0007707C">
            <w:pPr>
              <w:rPr>
                <w:b/>
                <w:bCs/>
                <w:color w:val="auto"/>
              </w:rPr>
            </w:pPr>
            <w:r w:rsidRPr="0083201B">
              <w:rPr>
                <w:rFonts w:cs="Arial"/>
              </w:rPr>
              <w:t xml:space="preserve">In the application of this policy, Lincolnshire police will not discriminate against any persons. There is nothing within the policy that is likely to create a different impact on any person who </w:t>
            </w:r>
            <w:r>
              <w:rPr>
                <w:rFonts w:cs="Arial"/>
              </w:rPr>
              <w:t>is married or in a civil partnership</w:t>
            </w:r>
            <w:r w:rsidRPr="0083201B">
              <w:rPr>
                <w:rFonts w:cs="Arial"/>
              </w:rPr>
              <w:t>.</w:t>
            </w:r>
          </w:p>
        </w:tc>
      </w:tr>
      <w:tr w:rsidR="00B80A45" w14:paraId="77A7FC36" w14:textId="77777777" w:rsidTr="00B720DC">
        <w:trPr>
          <w:trHeight w:val="885"/>
        </w:trPr>
        <w:tc>
          <w:tcPr>
            <w:tcW w:w="5240" w:type="dxa"/>
          </w:tcPr>
          <w:p w14:paraId="63B0E833" w14:textId="77777777" w:rsidR="00B80A45" w:rsidRDefault="00B80A45" w:rsidP="00B80A45">
            <w:pPr>
              <w:rPr>
                <w:rFonts w:cs="Arial"/>
              </w:rPr>
            </w:pPr>
            <w:r>
              <w:rPr>
                <w:rFonts w:cs="Arial"/>
              </w:rPr>
              <w:t>What existing evidence (either presumed or otherwise) do you have for this?</w:t>
            </w:r>
          </w:p>
        </w:tc>
        <w:tc>
          <w:tcPr>
            <w:tcW w:w="8789" w:type="dxa"/>
          </w:tcPr>
          <w:p w14:paraId="14C8D535" w14:textId="0AA45DDA" w:rsidR="00B80A45" w:rsidRPr="00A07A74" w:rsidRDefault="0007707C" w:rsidP="00B80A45">
            <w:pPr>
              <w:rPr>
                <w:rFonts w:cs="Arial"/>
                <w:color w:val="auto"/>
              </w:rPr>
            </w:pPr>
            <w:r w:rsidRPr="0083201B">
              <w:t>This policy is based purely on concerns raised for an individual person by a private member of the public or a public body/partner agency. It will focus on the vulnerability of the individual balanced against police powers and liability. It is anticipated that this will transcend across the entire demographic population.</w:t>
            </w:r>
          </w:p>
        </w:tc>
      </w:tr>
      <w:tr w:rsidR="00B80A45" w14:paraId="569ACCD3" w14:textId="77777777" w:rsidTr="00B720DC">
        <w:trPr>
          <w:trHeight w:val="952"/>
        </w:trPr>
        <w:tc>
          <w:tcPr>
            <w:tcW w:w="5240" w:type="dxa"/>
          </w:tcPr>
          <w:p w14:paraId="02839909" w14:textId="77777777" w:rsidR="00B80A45" w:rsidRDefault="00B80A45" w:rsidP="00B80A45">
            <w:pPr>
              <w:rPr>
                <w:rFonts w:cs="Arial"/>
              </w:rPr>
            </w:pPr>
            <w:r>
              <w:rPr>
                <w:rFonts w:cs="Arial"/>
              </w:rPr>
              <w:t xml:space="preserve">16. Is there any likelihood the </w:t>
            </w:r>
            <w:r w:rsidRPr="00EC1851">
              <w:rPr>
                <w:rFonts w:cs="Arial"/>
              </w:rPr>
              <w:t xml:space="preserve">policy </w:t>
            </w:r>
            <w:r w:rsidRPr="00EC1851">
              <w:rPr>
                <w:rFonts w:cs="Arial"/>
                <w:b/>
                <w:bCs/>
              </w:rPr>
              <w:t>could</w:t>
            </w:r>
            <w:r w:rsidRPr="00EC1851">
              <w:rPr>
                <w:rFonts w:cs="Arial"/>
              </w:rPr>
              <w:t xml:space="preserve"> have</w:t>
            </w:r>
            <w:r>
              <w:rPr>
                <w:rFonts w:cs="Arial"/>
              </w:rPr>
              <w:t xml:space="preserve"> a differential impact on people due to them being Transgender or Transsexual?</w:t>
            </w:r>
          </w:p>
        </w:tc>
        <w:tc>
          <w:tcPr>
            <w:tcW w:w="8789" w:type="dxa"/>
          </w:tcPr>
          <w:p w14:paraId="4D0423EE" w14:textId="77777777" w:rsidR="0007707C" w:rsidRDefault="0007707C" w:rsidP="0007707C">
            <w:pPr>
              <w:rPr>
                <w:rFonts w:cs="Arial"/>
                <w:b/>
                <w:color w:val="auto"/>
                <w:szCs w:val="22"/>
              </w:rPr>
            </w:pPr>
            <w:r w:rsidRPr="00A07A74">
              <w:rPr>
                <w:rFonts w:cs="Arial"/>
                <w:b/>
                <w:color w:val="auto"/>
                <w:szCs w:val="22"/>
              </w:rPr>
              <w:t>No</w:t>
            </w:r>
          </w:p>
          <w:p w14:paraId="41CC530C" w14:textId="639FBE10" w:rsidR="00B80A45" w:rsidRPr="00A07A74" w:rsidRDefault="0007707C" w:rsidP="0007707C">
            <w:pPr>
              <w:rPr>
                <w:b/>
                <w:bCs/>
                <w:color w:val="auto"/>
              </w:rPr>
            </w:pPr>
            <w:r w:rsidRPr="0083201B">
              <w:rPr>
                <w:rFonts w:cs="Arial"/>
              </w:rPr>
              <w:t xml:space="preserve">In the application of this policy, Lincolnshire police will not discriminate against any persons. There is nothing within the policy that is likely to create a different impact on any person who </w:t>
            </w:r>
            <w:r>
              <w:rPr>
                <w:rFonts w:cs="Arial"/>
              </w:rPr>
              <w:t>identifies from within the Trans community</w:t>
            </w:r>
            <w:r w:rsidRPr="0083201B">
              <w:rPr>
                <w:rFonts w:cs="Arial"/>
              </w:rPr>
              <w:t>.</w:t>
            </w:r>
          </w:p>
        </w:tc>
      </w:tr>
      <w:tr w:rsidR="00B80A45" w14:paraId="6C0E8494" w14:textId="77777777" w:rsidTr="00B720DC">
        <w:trPr>
          <w:trHeight w:val="1002"/>
        </w:trPr>
        <w:tc>
          <w:tcPr>
            <w:tcW w:w="5240" w:type="dxa"/>
          </w:tcPr>
          <w:p w14:paraId="0BB08FD9" w14:textId="77777777" w:rsidR="00B80A45" w:rsidRDefault="00B80A45" w:rsidP="00B80A45">
            <w:pPr>
              <w:rPr>
                <w:rFonts w:cs="Arial"/>
              </w:rPr>
            </w:pPr>
            <w:r>
              <w:rPr>
                <w:rFonts w:cs="Arial"/>
              </w:rPr>
              <w:lastRenderedPageBreak/>
              <w:t>What existing evidence (either presumed or otherwise) do you have for this?</w:t>
            </w:r>
          </w:p>
        </w:tc>
        <w:tc>
          <w:tcPr>
            <w:tcW w:w="8789" w:type="dxa"/>
          </w:tcPr>
          <w:p w14:paraId="0F8B3F77" w14:textId="5EB13814" w:rsidR="00B80A45" w:rsidRPr="00A07A74" w:rsidRDefault="0007707C" w:rsidP="00B80A45">
            <w:pPr>
              <w:rPr>
                <w:rFonts w:cs="Arial"/>
                <w:color w:val="auto"/>
              </w:rPr>
            </w:pPr>
            <w:r w:rsidRPr="0083201B">
              <w:t>This policy is based purely on concerns raised for an individual person by a private member of the public or a public body/partner agency. It will focus on the vulnerability of the individual balanced against police powers and liability. It is anticipated that this will transcend across the entire demographic population.</w:t>
            </w:r>
          </w:p>
        </w:tc>
      </w:tr>
      <w:tr w:rsidR="00B80A45" w14:paraId="4DCFEBD0" w14:textId="77777777" w:rsidTr="00B720DC">
        <w:trPr>
          <w:trHeight w:val="1130"/>
        </w:trPr>
        <w:tc>
          <w:tcPr>
            <w:tcW w:w="5240" w:type="dxa"/>
          </w:tcPr>
          <w:p w14:paraId="3B0812D6" w14:textId="21384768" w:rsidR="00B80A45" w:rsidRDefault="00B80A45" w:rsidP="00B80A45">
            <w:pPr>
              <w:rPr>
                <w:rFonts w:cs="Arial"/>
              </w:rPr>
            </w:pPr>
            <w:r>
              <w:rPr>
                <w:rFonts w:cs="Arial"/>
              </w:rPr>
              <w:t>17. If a differential impact has been identified in 8-16, will this amount to there being the potential for an adverse impact in this policy?</w:t>
            </w:r>
          </w:p>
        </w:tc>
        <w:tc>
          <w:tcPr>
            <w:tcW w:w="8789" w:type="dxa"/>
          </w:tcPr>
          <w:p w14:paraId="4CA40353" w14:textId="0A510A8B" w:rsidR="00B80A45" w:rsidRDefault="0007707C" w:rsidP="00B80A45">
            <w:pPr>
              <w:rPr>
                <w:b/>
                <w:bCs/>
                <w:color w:val="auto"/>
              </w:rPr>
            </w:pPr>
            <w:r w:rsidRPr="0007707C">
              <w:rPr>
                <w:b/>
                <w:bCs/>
                <w:color w:val="auto"/>
              </w:rPr>
              <w:t>No</w:t>
            </w:r>
          </w:p>
          <w:p w14:paraId="798DBE71" w14:textId="7C95BFD9" w:rsidR="0007707C" w:rsidRPr="0005489F" w:rsidRDefault="0007707C" w:rsidP="0007707C">
            <w:pPr>
              <w:rPr>
                <w:color w:val="auto"/>
              </w:rPr>
            </w:pPr>
            <w:r>
              <w:rPr>
                <w:color w:val="auto"/>
              </w:rPr>
              <w:t>This new application will have a marginal</w:t>
            </w:r>
            <w:r w:rsidRPr="0083201B">
              <w:rPr>
                <w:color w:val="auto"/>
              </w:rPr>
              <w:t xml:space="preserve"> impact on the following groups – </w:t>
            </w:r>
            <w:r>
              <w:rPr>
                <w:color w:val="auto"/>
              </w:rPr>
              <w:t xml:space="preserve">Persons under 16 years of age – this is due to the majority of domestic incidents relating to adults of 18 years or older and alternate safeguarding mechanisms in place for persons under 18 years of age through Children Services, MACE, PPN’s and the police safeguarding hub. This is </w:t>
            </w:r>
            <w:r w:rsidRPr="0083201B">
              <w:rPr>
                <w:color w:val="auto"/>
              </w:rPr>
              <w:t>pre-existing legislation under the Children’s Act</w:t>
            </w:r>
            <w:r>
              <w:rPr>
                <w:color w:val="auto"/>
              </w:rPr>
              <w:t>.</w:t>
            </w:r>
          </w:p>
        </w:tc>
      </w:tr>
      <w:tr w:rsidR="0007707C" w14:paraId="2342E1F7" w14:textId="77777777" w:rsidTr="00B720DC">
        <w:trPr>
          <w:trHeight w:val="1106"/>
        </w:trPr>
        <w:tc>
          <w:tcPr>
            <w:tcW w:w="5240" w:type="dxa"/>
          </w:tcPr>
          <w:p w14:paraId="3C9660A8" w14:textId="77777777" w:rsidR="0007707C" w:rsidRPr="00CF70F4" w:rsidRDefault="0007707C" w:rsidP="0007707C">
            <w:pPr>
              <w:rPr>
                <w:rFonts w:cs="Arial"/>
              </w:rPr>
            </w:pPr>
            <w:r w:rsidRPr="00CF70F4">
              <w:rPr>
                <w:rFonts w:cs="Arial"/>
              </w:rPr>
              <w:t>18. Can this adverse impact be justified on the grounds of promoting equality of opportunity for one group? Or any other reason</w:t>
            </w:r>
            <w:r>
              <w:rPr>
                <w:rFonts w:cs="Arial"/>
              </w:rPr>
              <w:t>?</w:t>
            </w:r>
          </w:p>
        </w:tc>
        <w:tc>
          <w:tcPr>
            <w:tcW w:w="8789" w:type="dxa"/>
          </w:tcPr>
          <w:p w14:paraId="6E7A55A8" w14:textId="77777777" w:rsidR="0007707C" w:rsidRDefault="0007707C" w:rsidP="0007707C">
            <w:pPr>
              <w:rPr>
                <w:b/>
                <w:bCs/>
                <w:color w:val="auto"/>
              </w:rPr>
            </w:pPr>
            <w:r>
              <w:rPr>
                <w:b/>
                <w:bCs/>
                <w:color w:val="auto"/>
              </w:rPr>
              <w:t>Yes</w:t>
            </w:r>
          </w:p>
          <w:p w14:paraId="5AFFD2B2" w14:textId="719B4A5F" w:rsidR="0007707C" w:rsidRPr="00A07A74" w:rsidRDefault="0007707C" w:rsidP="0007707C">
            <w:pPr>
              <w:rPr>
                <w:b/>
                <w:bCs/>
                <w:color w:val="auto"/>
              </w:rPr>
            </w:pPr>
            <w:r w:rsidRPr="0083201B">
              <w:t>In order to be able to respond to the most vulnerable, and those at the highest level of risk in our society, Lincolnshire police need to address th</w:t>
            </w:r>
            <w:r>
              <w:t>e continuous pursuit of domestic abuse perpetrators a</w:t>
            </w:r>
            <w:r w:rsidRPr="0083201B">
              <w:t xml:space="preserve">nd adopt an effective policy capable of recognising and responding to those at real risk.  This will impact on those who don’t meet this </w:t>
            </w:r>
            <w:proofErr w:type="gramStart"/>
            <w:r w:rsidRPr="0083201B">
              <w:t>threshold,</w:t>
            </w:r>
            <w:proofErr w:type="gramEnd"/>
            <w:r w:rsidRPr="0083201B">
              <w:t xml:space="preserve"> however we </w:t>
            </w:r>
            <w:r>
              <w:t>will continue to offer safeguarding as in keeping with our current responsibilities with partners and as a safeguarding provider</w:t>
            </w:r>
            <w:r w:rsidRPr="0083201B">
              <w:t xml:space="preserve">, </w:t>
            </w:r>
            <w:r>
              <w:t>we will</w:t>
            </w:r>
            <w:r w:rsidRPr="0083201B">
              <w:t xml:space="preserve"> refer the caller o</w:t>
            </w:r>
            <w:r>
              <w:t>nwards as appropriate through victim support services as Victim Lincs.</w:t>
            </w:r>
            <w:r w:rsidRPr="0083201B">
              <w:t xml:space="preserve"> The impact is justified on the grounds of having </w:t>
            </w:r>
            <w:r>
              <w:t>as an additional safeguarding tool not appropriate in all cases.</w:t>
            </w:r>
          </w:p>
        </w:tc>
      </w:tr>
      <w:tr w:rsidR="0007707C" w14:paraId="4368A430" w14:textId="77777777" w:rsidTr="00B720DC">
        <w:trPr>
          <w:trHeight w:val="974"/>
        </w:trPr>
        <w:tc>
          <w:tcPr>
            <w:tcW w:w="5240" w:type="dxa"/>
          </w:tcPr>
          <w:p w14:paraId="2028155E" w14:textId="7F0EB3B6" w:rsidR="0007707C" w:rsidRDefault="0007707C" w:rsidP="0007707C">
            <w:pPr>
              <w:rPr>
                <w:rFonts w:cs="Arial"/>
              </w:rPr>
            </w:pPr>
            <w:r>
              <w:rPr>
                <w:rFonts w:cs="Arial"/>
              </w:rPr>
              <w:lastRenderedPageBreak/>
              <w:t xml:space="preserve">19. If </w:t>
            </w:r>
            <w:proofErr w:type="gramStart"/>
            <w:r>
              <w:rPr>
                <w:rFonts w:cs="Arial"/>
              </w:rPr>
              <w:t>Yes</w:t>
            </w:r>
            <w:proofErr w:type="gramEnd"/>
            <w:r>
              <w:rPr>
                <w:rFonts w:cs="Arial"/>
              </w:rPr>
              <w:t>, is there enough evidence to proceed to a full EIA?</w:t>
            </w:r>
          </w:p>
        </w:tc>
        <w:tc>
          <w:tcPr>
            <w:tcW w:w="8789" w:type="dxa"/>
          </w:tcPr>
          <w:p w14:paraId="17877A39" w14:textId="354A7A05" w:rsidR="0007707C" w:rsidRPr="0005489F" w:rsidRDefault="0007707C" w:rsidP="0007707C">
            <w:pPr>
              <w:rPr>
                <w:color w:val="auto"/>
              </w:rPr>
            </w:pPr>
            <w:r>
              <w:rPr>
                <w:color w:val="auto"/>
              </w:rPr>
              <w:t>Yes</w:t>
            </w:r>
          </w:p>
        </w:tc>
      </w:tr>
      <w:tr w:rsidR="0007707C" w14:paraId="00A89C69" w14:textId="77777777" w:rsidTr="00B720DC">
        <w:trPr>
          <w:trHeight w:val="650"/>
        </w:trPr>
        <w:tc>
          <w:tcPr>
            <w:tcW w:w="5240" w:type="dxa"/>
          </w:tcPr>
          <w:p w14:paraId="53316AA8" w14:textId="07181CA7" w:rsidR="0007707C" w:rsidRDefault="0007707C" w:rsidP="0007707C">
            <w:pPr>
              <w:rPr>
                <w:rFonts w:cs="Arial"/>
              </w:rPr>
            </w:pPr>
            <w:r>
              <w:rPr>
                <w:rFonts w:cs="Arial"/>
              </w:rPr>
              <w:t>20. Date on which Full impact assessment to be completed by.</w:t>
            </w:r>
          </w:p>
        </w:tc>
        <w:tc>
          <w:tcPr>
            <w:tcW w:w="8789" w:type="dxa"/>
          </w:tcPr>
          <w:p w14:paraId="29D58DAB" w14:textId="6AB499E7" w:rsidR="0007707C" w:rsidRPr="00A07A74" w:rsidRDefault="00C47EE7" w:rsidP="0007707C">
            <w:pPr>
              <w:rPr>
                <w:rFonts w:cs="Arial"/>
                <w:color w:val="auto"/>
              </w:rPr>
            </w:pPr>
            <w:r>
              <w:rPr>
                <w:rFonts w:cs="Arial"/>
                <w:color w:val="auto"/>
              </w:rPr>
              <w:t>21</w:t>
            </w:r>
            <w:r w:rsidR="00A95A0A">
              <w:rPr>
                <w:rFonts w:cs="Arial"/>
                <w:color w:val="auto"/>
              </w:rPr>
              <w:t>/0</w:t>
            </w:r>
            <w:r>
              <w:rPr>
                <w:rFonts w:cs="Arial"/>
                <w:color w:val="auto"/>
              </w:rPr>
              <w:t>3</w:t>
            </w:r>
            <w:r w:rsidR="00A95A0A">
              <w:rPr>
                <w:rFonts w:cs="Arial"/>
                <w:color w:val="auto"/>
              </w:rPr>
              <w:t>/2024</w:t>
            </w:r>
          </w:p>
        </w:tc>
      </w:tr>
    </w:tbl>
    <w:p w14:paraId="5F851FF7" w14:textId="77777777" w:rsidR="00C143E8" w:rsidRDefault="00C143E8" w:rsidP="00C143E8">
      <w:pPr>
        <w:rPr>
          <w:rFonts w:cs="Arial"/>
        </w:rPr>
      </w:pPr>
    </w:p>
    <w:p w14:paraId="4D50A8D6" w14:textId="641D0CDC" w:rsidR="00C143E8" w:rsidRPr="00C143E8" w:rsidRDefault="00C143E8" w:rsidP="00C143E8">
      <w:r>
        <w:t>Signed (completing officer)</w:t>
      </w:r>
      <w:r w:rsidR="003D2942">
        <w:t>:</w:t>
      </w:r>
      <w:r w:rsidR="00DA6F97">
        <w:t xml:space="preserve"> Rachael Cox</w:t>
      </w:r>
    </w:p>
    <w:p w14:paraId="79E309F9" w14:textId="779D5562" w:rsidR="00076929" w:rsidRPr="0071268F" w:rsidRDefault="00C143E8" w:rsidP="0071268F">
      <w:pPr>
        <w:rPr>
          <w:rFonts w:cs="Arial"/>
        </w:rPr>
      </w:pPr>
      <w:r>
        <w:rPr>
          <w:rFonts w:cs="Arial"/>
        </w:rPr>
        <w:t>Signed (Lead officer)</w:t>
      </w:r>
      <w:r w:rsidR="00E24C76">
        <w:rPr>
          <w:rFonts w:cs="Arial"/>
        </w:rPr>
        <w:t xml:space="preserve">: </w:t>
      </w:r>
      <w:r w:rsidR="00076929">
        <w:br w:type="page"/>
      </w:r>
    </w:p>
    <w:p w14:paraId="0CB32B31" w14:textId="136E911B" w:rsidR="00C143E8" w:rsidRPr="00C143E8" w:rsidRDefault="00C143E8" w:rsidP="00C143E8">
      <w:pPr>
        <w:pStyle w:val="Heading2"/>
      </w:pPr>
      <w:r>
        <w:lastRenderedPageBreak/>
        <w:t xml:space="preserve">Groups </w:t>
      </w:r>
      <w:proofErr w:type="gramStart"/>
      <w:r w:rsidR="009A5655">
        <w:t>a</w:t>
      </w:r>
      <w:r>
        <w:t>ffected</w:t>
      </w:r>
      <w:proofErr w:type="gramEnd"/>
    </w:p>
    <w:p w14:paraId="3FC93354" w14:textId="67AA57AA" w:rsidR="00C143E8" w:rsidRPr="00C143E8" w:rsidRDefault="00C143E8" w:rsidP="00C143E8">
      <w:r w:rsidRPr="00CF4F08">
        <w:t xml:space="preserve">Please identify the anticipated impact this activity will have on the following population groups.  </w:t>
      </w:r>
    </w:p>
    <w:p w14:paraId="24C2E620" w14:textId="77777777" w:rsidR="00C143E8" w:rsidRDefault="00C143E8" w:rsidP="00C143E8">
      <w:pPr>
        <w:pStyle w:val="ListParagraph"/>
        <w:numPr>
          <w:ilvl w:val="0"/>
          <w:numId w:val="17"/>
        </w:numPr>
      </w:pPr>
      <w:r w:rsidRPr="00CF4F08">
        <w:t>Tick the appropriate box and give explanation if so required,</w:t>
      </w:r>
    </w:p>
    <w:p w14:paraId="64030D79" w14:textId="149B97F4" w:rsidR="00C143E8" w:rsidRDefault="00C143E8" w:rsidP="00C143E8">
      <w:pPr>
        <w:pStyle w:val="ListParagraph"/>
        <w:numPr>
          <w:ilvl w:val="0"/>
          <w:numId w:val="17"/>
        </w:numPr>
      </w:pPr>
      <w:r w:rsidRPr="00AE5283">
        <w:t>Please note that there are both likely benefit</w:t>
      </w:r>
      <w:r>
        <w:t xml:space="preserve">s and adverse impact within the </w:t>
      </w:r>
      <w:r w:rsidRPr="00AE5283">
        <w:t xml:space="preserve">same </w:t>
      </w:r>
      <w:proofErr w:type="gramStart"/>
      <w:r w:rsidRPr="00AE5283">
        <w:t>group</w:t>
      </w:r>
      <w:proofErr w:type="gramEnd"/>
    </w:p>
    <w:p w14:paraId="0CAC19BF" w14:textId="17F2A27C" w:rsidR="00C143E8" w:rsidRDefault="00C143E8" w:rsidP="00C143E8">
      <w:pPr>
        <w:pStyle w:val="ListParagraph"/>
        <w:numPr>
          <w:ilvl w:val="0"/>
          <w:numId w:val="17"/>
        </w:numPr>
      </w:pPr>
      <w:r w:rsidRPr="00C143E8">
        <w:rPr>
          <w:bCs/>
        </w:rPr>
        <w:t>Any groups highlighted as likely to be adversely affected should be consulted in the second stage Full Impact Assessment if one has been identified as being needed.</w:t>
      </w:r>
    </w:p>
    <w:tbl>
      <w:tblPr>
        <w:tblStyle w:val="TableGrid"/>
        <w:tblW w:w="0" w:type="auto"/>
        <w:tblLook w:val="01E0" w:firstRow="1" w:lastRow="1" w:firstColumn="1" w:lastColumn="1" w:noHBand="0" w:noVBand="0"/>
        <w:tblCaption w:val="Groups affected by this policy"/>
        <w:tblDescription w:val="Table showing the groups affected by the policy (disability, gender, transgender, race, sexual orientation, religion and belief, age, marriage and civil partnerships) and the level of impact on them (likely to benfefit, no impact or adverse impact)"/>
      </w:tblPr>
      <w:tblGrid>
        <w:gridCol w:w="8052"/>
        <w:gridCol w:w="1956"/>
        <w:gridCol w:w="1604"/>
        <w:gridCol w:w="2336"/>
      </w:tblGrid>
      <w:tr w:rsidR="00C143E8" w14:paraId="2D89A728" w14:textId="77777777" w:rsidTr="00C15F76">
        <w:tc>
          <w:tcPr>
            <w:tcW w:w="8052" w:type="dxa"/>
          </w:tcPr>
          <w:p w14:paraId="41645E1F" w14:textId="77777777" w:rsidR="00C143E8" w:rsidRDefault="00C143E8" w:rsidP="001F3E93">
            <w:pPr>
              <w:rPr>
                <w:rFonts w:cs="Arial"/>
              </w:rPr>
            </w:pPr>
          </w:p>
        </w:tc>
        <w:tc>
          <w:tcPr>
            <w:tcW w:w="1956" w:type="dxa"/>
          </w:tcPr>
          <w:p w14:paraId="427BABC5" w14:textId="77777777" w:rsidR="00C143E8" w:rsidRPr="00022B4B" w:rsidRDefault="00C143E8" w:rsidP="001F3E93">
            <w:pPr>
              <w:rPr>
                <w:rFonts w:cs="Arial"/>
              </w:rPr>
            </w:pPr>
            <w:r w:rsidRPr="00022B4B">
              <w:rPr>
                <w:rFonts w:cs="Arial"/>
              </w:rPr>
              <w:t>Likely to Benefit</w:t>
            </w:r>
          </w:p>
        </w:tc>
        <w:tc>
          <w:tcPr>
            <w:tcW w:w="1604" w:type="dxa"/>
          </w:tcPr>
          <w:p w14:paraId="1D797C9C" w14:textId="77777777" w:rsidR="00C143E8" w:rsidRPr="00022B4B" w:rsidRDefault="00C143E8" w:rsidP="001F3E93">
            <w:pPr>
              <w:rPr>
                <w:rFonts w:cs="Arial"/>
              </w:rPr>
            </w:pPr>
            <w:r w:rsidRPr="00022B4B">
              <w:rPr>
                <w:rFonts w:cs="Arial"/>
              </w:rPr>
              <w:t>No Impact</w:t>
            </w:r>
          </w:p>
        </w:tc>
        <w:tc>
          <w:tcPr>
            <w:tcW w:w="2336" w:type="dxa"/>
          </w:tcPr>
          <w:p w14:paraId="58AE308E" w14:textId="77777777" w:rsidR="00C143E8" w:rsidRPr="00022B4B" w:rsidRDefault="00C143E8" w:rsidP="001F3E93">
            <w:pPr>
              <w:rPr>
                <w:rFonts w:cs="Arial"/>
              </w:rPr>
            </w:pPr>
            <w:r w:rsidRPr="00022B4B">
              <w:rPr>
                <w:rFonts w:cs="Arial"/>
              </w:rPr>
              <w:t>Adverse Impact</w:t>
            </w:r>
          </w:p>
        </w:tc>
      </w:tr>
      <w:tr w:rsidR="00076929" w14:paraId="3B8D78AF" w14:textId="77777777" w:rsidTr="00C15F76">
        <w:tc>
          <w:tcPr>
            <w:tcW w:w="8052" w:type="dxa"/>
          </w:tcPr>
          <w:p w14:paraId="344C28C0" w14:textId="0542479A" w:rsidR="00076929" w:rsidRDefault="00076929" w:rsidP="00076929">
            <w:pPr>
              <w:rPr>
                <w:rFonts w:cs="Arial"/>
              </w:rPr>
            </w:pPr>
            <w:r>
              <w:rPr>
                <w:rFonts w:cs="Arial"/>
                <w:b/>
              </w:rPr>
              <w:t>Disability</w:t>
            </w:r>
            <w:r w:rsidR="00EC1851">
              <w:rPr>
                <w:rFonts w:cs="Arial"/>
                <w:b/>
              </w:rPr>
              <w:t>:</w:t>
            </w:r>
            <w:r>
              <w:rPr>
                <w:rFonts w:cs="Arial"/>
                <w:b/>
              </w:rPr>
              <w:t xml:space="preserve"> </w:t>
            </w:r>
            <w:r>
              <w:rPr>
                <w:rFonts w:cs="Arial"/>
              </w:rPr>
              <w:t>Physical, Sensory, Learning Disability, Mental Health, Carers</w:t>
            </w:r>
          </w:p>
        </w:tc>
        <w:tc>
          <w:tcPr>
            <w:tcW w:w="1956" w:type="dxa"/>
          </w:tcPr>
          <w:p w14:paraId="68C41587" w14:textId="1C1CFE3D" w:rsidR="00076929" w:rsidRDefault="00076929" w:rsidP="00076929">
            <w:pPr>
              <w:jc w:val="center"/>
              <w:rPr>
                <w:rFonts w:cs="Arial"/>
              </w:rPr>
            </w:pPr>
            <w:r w:rsidRPr="00534437">
              <w:rPr>
                <w:rFonts w:cs="Arial"/>
              </w:rPr>
              <w:fldChar w:fldCharType="begin">
                <w:ffData>
                  <w:name w:val="Check2"/>
                  <w:enabled/>
                  <w:calcOnExit w:val="0"/>
                  <w:checkBox>
                    <w:sizeAuto/>
                    <w:default w:val="0"/>
                  </w:checkBox>
                </w:ffData>
              </w:fldChar>
            </w:r>
            <w:bookmarkStart w:id="0" w:name="Check2"/>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bookmarkEnd w:id="0"/>
          </w:p>
        </w:tc>
        <w:tc>
          <w:tcPr>
            <w:tcW w:w="1604" w:type="dxa"/>
          </w:tcPr>
          <w:p w14:paraId="457ADCB2" w14:textId="507A6166" w:rsidR="00076929" w:rsidRDefault="00EA2B1D" w:rsidP="00076929">
            <w:pPr>
              <w:jc w:val="center"/>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p>
        </w:tc>
        <w:tc>
          <w:tcPr>
            <w:tcW w:w="2336" w:type="dxa"/>
          </w:tcPr>
          <w:p w14:paraId="15716DC9" w14:textId="592594B5" w:rsidR="00076929" w:rsidRDefault="00076929" w:rsidP="00076929">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r>
      <w:tr w:rsidR="00EA2B1D" w14:paraId="0F38D2D6" w14:textId="77777777" w:rsidTr="00C15F76">
        <w:tc>
          <w:tcPr>
            <w:tcW w:w="8052" w:type="dxa"/>
          </w:tcPr>
          <w:p w14:paraId="7F648358" w14:textId="6500B3FD" w:rsidR="00EA2B1D" w:rsidRDefault="00EA2B1D" w:rsidP="00EA2B1D">
            <w:pPr>
              <w:rPr>
                <w:rFonts w:cs="Arial"/>
              </w:rPr>
            </w:pPr>
            <w:r>
              <w:rPr>
                <w:rFonts w:cs="Arial"/>
                <w:b/>
              </w:rPr>
              <w:t xml:space="preserve">Gender: </w:t>
            </w:r>
            <w:r>
              <w:rPr>
                <w:rFonts w:cs="Arial"/>
              </w:rPr>
              <w:t>Male, Female</w:t>
            </w:r>
          </w:p>
        </w:tc>
        <w:tc>
          <w:tcPr>
            <w:tcW w:w="1956" w:type="dxa"/>
          </w:tcPr>
          <w:p w14:paraId="4E0FB0C4" w14:textId="1F52389D"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1604" w:type="dxa"/>
          </w:tcPr>
          <w:p w14:paraId="4AFD3B53" w14:textId="184B6F90"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000000">
              <w:rPr>
                <w:rFonts w:cs="Arial"/>
              </w:rPr>
            </w:r>
            <w:r w:rsidR="00000000">
              <w:rPr>
                <w:rFonts w:cs="Arial"/>
              </w:rPr>
              <w:fldChar w:fldCharType="separate"/>
            </w:r>
            <w:r w:rsidRPr="00A100AA">
              <w:rPr>
                <w:rFonts w:cs="Arial"/>
              </w:rPr>
              <w:fldChar w:fldCharType="end"/>
            </w:r>
          </w:p>
        </w:tc>
        <w:tc>
          <w:tcPr>
            <w:tcW w:w="2336" w:type="dxa"/>
          </w:tcPr>
          <w:p w14:paraId="6FD9BD1C" w14:textId="11C6CD7B"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r>
      <w:tr w:rsidR="00EA2B1D" w14:paraId="4CA725EB" w14:textId="77777777" w:rsidTr="00C15F76">
        <w:tc>
          <w:tcPr>
            <w:tcW w:w="8052" w:type="dxa"/>
          </w:tcPr>
          <w:p w14:paraId="34B66396" w14:textId="468401C6" w:rsidR="00EA2B1D" w:rsidRDefault="00EA2B1D" w:rsidP="00EA2B1D">
            <w:pPr>
              <w:rPr>
                <w:rFonts w:cs="Arial"/>
                <w:b/>
              </w:rPr>
            </w:pPr>
            <w:r>
              <w:rPr>
                <w:rFonts w:cs="Arial"/>
                <w:b/>
              </w:rPr>
              <w:t>Transgender</w:t>
            </w:r>
          </w:p>
        </w:tc>
        <w:tc>
          <w:tcPr>
            <w:tcW w:w="1956" w:type="dxa"/>
          </w:tcPr>
          <w:p w14:paraId="54173740" w14:textId="30529955"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1604" w:type="dxa"/>
          </w:tcPr>
          <w:p w14:paraId="19AF7036" w14:textId="21EBADD8"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000000">
              <w:rPr>
                <w:rFonts w:cs="Arial"/>
              </w:rPr>
            </w:r>
            <w:r w:rsidR="00000000">
              <w:rPr>
                <w:rFonts w:cs="Arial"/>
              </w:rPr>
              <w:fldChar w:fldCharType="separate"/>
            </w:r>
            <w:r w:rsidRPr="00A100AA">
              <w:rPr>
                <w:rFonts w:cs="Arial"/>
              </w:rPr>
              <w:fldChar w:fldCharType="end"/>
            </w:r>
          </w:p>
        </w:tc>
        <w:tc>
          <w:tcPr>
            <w:tcW w:w="2336" w:type="dxa"/>
          </w:tcPr>
          <w:p w14:paraId="7A7098E9" w14:textId="12C5A67A"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r>
      <w:tr w:rsidR="00EA2B1D" w14:paraId="318585C5" w14:textId="77777777" w:rsidTr="00C15F76">
        <w:tc>
          <w:tcPr>
            <w:tcW w:w="8052" w:type="dxa"/>
          </w:tcPr>
          <w:p w14:paraId="4FF713C5" w14:textId="6366DE26" w:rsidR="00EA2B1D" w:rsidRDefault="00EA2B1D" w:rsidP="00EA2B1D">
            <w:pPr>
              <w:rPr>
                <w:rFonts w:cs="Arial"/>
              </w:rPr>
            </w:pPr>
            <w:r>
              <w:rPr>
                <w:rFonts w:cs="Arial"/>
                <w:b/>
              </w:rPr>
              <w:t xml:space="preserve">Race: </w:t>
            </w:r>
            <w:r>
              <w:rPr>
                <w:rFonts w:cs="Arial"/>
              </w:rPr>
              <w:t>Traveller and Gypsy etc</w:t>
            </w:r>
          </w:p>
        </w:tc>
        <w:tc>
          <w:tcPr>
            <w:tcW w:w="1956" w:type="dxa"/>
          </w:tcPr>
          <w:p w14:paraId="54BE4A27" w14:textId="6BD1117E"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1604" w:type="dxa"/>
          </w:tcPr>
          <w:p w14:paraId="232F8EFD" w14:textId="5EA37A0B"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000000">
              <w:rPr>
                <w:rFonts w:cs="Arial"/>
              </w:rPr>
            </w:r>
            <w:r w:rsidR="00000000">
              <w:rPr>
                <w:rFonts w:cs="Arial"/>
              </w:rPr>
              <w:fldChar w:fldCharType="separate"/>
            </w:r>
            <w:r w:rsidRPr="00A100AA">
              <w:rPr>
                <w:rFonts w:cs="Arial"/>
              </w:rPr>
              <w:fldChar w:fldCharType="end"/>
            </w:r>
          </w:p>
        </w:tc>
        <w:tc>
          <w:tcPr>
            <w:tcW w:w="2336" w:type="dxa"/>
          </w:tcPr>
          <w:p w14:paraId="728D4B0F" w14:textId="4390520A"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r>
      <w:tr w:rsidR="00EA2B1D" w14:paraId="054D54EF" w14:textId="77777777" w:rsidTr="00C15F76">
        <w:tc>
          <w:tcPr>
            <w:tcW w:w="8052" w:type="dxa"/>
          </w:tcPr>
          <w:p w14:paraId="73E65459" w14:textId="72308DF4" w:rsidR="00EA2B1D" w:rsidRDefault="00EA2B1D" w:rsidP="00EA2B1D">
            <w:pPr>
              <w:rPr>
                <w:rFonts w:cs="Arial"/>
              </w:rPr>
            </w:pPr>
            <w:r>
              <w:rPr>
                <w:rFonts w:cs="Arial"/>
                <w:b/>
              </w:rPr>
              <w:t xml:space="preserve">Sexual Orientation: </w:t>
            </w:r>
            <w:r>
              <w:rPr>
                <w:rFonts w:cs="Arial"/>
              </w:rPr>
              <w:t>Lesbian, Gay, Bisexual</w:t>
            </w:r>
          </w:p>
        </w:tc>
        <w:tc>
          <w:tcPr>
            <w:tcW w:w="1956" w:type="dxa"/>
          </w:tcPr>
          <w:p w14:paraId="663EC3E7" w14:textId="4E98F0C7"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1604" w:type="dxa"/>
          </w:tcPr>
          <w:p w14:paraId="10EE7293" w14:textId="1BE2EE7A"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000000">
              <w:rPr>
                <w:rFonts w:cs="Arial"/>
              </w:rPr>
            </w:r>
            <w:r w:rsidR="00000000">
              <w:rPr>
                <w:rFonts w:cs="Arial"/>
              </w:rPr>
              <w:fldChar w:fldCharType="separate"/>
            </w:r>
            <w:r w:rsidRPr="00A100AA">
              <w:rPr>
                <w:rFonts w:cs="Arial"/>
              </w:rPr>
              <w:fldChar w:fldCharType="end"/>
            </w:r>
          </w:p>
        </w:tc>
        <w:tc>
          <w:tcPr>
            <w:tcW w:w="2336" w:type="dxa"/>
          </w:tcPr>
          <w:p w14:paraId="26AE3C55" w14:textId="12A81A8F"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r>
      <w:tr w:rsidR="00EA2B1D" w14:paraId="41B60C3A" w14:textId="77777777" w:rsidTr="00C15F76">
        <w:tc>
          <w:tcPr>
            <w:tcW w:w="8052" w:type="dxa"/>
          </w:tcPr>
          <w:p w14:paraId="1E24CB77" w14:textId="4FADD63E" w:rsidR="00EA2B1D" w:rsidRDefault="00EA2B1D" w:rsidP="00EA2B1D">
            <w:pPr>
              <w:rPr>
                <w:rFonts w:cs="Arial"/>
                <w:b/>
              </w:rPr>
            </w:pPr>
            <w:r>
              <w:rPr>
                <w:rFonts w:cs="Arial"/>
                <w:b/>
              </w:rPr>
              <w:t>Religion and Belief</w:t>
            </w:r>
          </w:p>
        </w:tc>
        <w:tc>
          <w:tcPr>
            <w:tcW w:w="1956" w:type="dxa"/>
          </w:tcPr>
          <w:p w14:paraId="049E43E4" w14:textId="5C59F29C"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1604" w:type="dxa"/>
          </w:tcPr>
          <w:p w14:paraId="469F3A06" w14:textId="11BC37D3"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000000">
              <w:rPr>
                <w:rFonts w:cs="Arial"/>
              </w:rPr>
            </w:r>
            <w:r w:rsidR="00000000">
              <w:rPr>
                <w:rFonts w:cs="Arial"/>
              </w:rPr>
              <w:fldChar w:fldCharType="separate"/>
            </w:r>
            <w:r w:rsidRPr="00A100AA">
              <w:rPr>
                <w:rFonts w:cs="Arial"/>
              </w:rPr>
              <w:fldChar w:fldCharType="end"/>
            </w:r>
          </w:p>
        </w:tc>
        <w:tc>
          <w:tcPr>
            <w:tcW w:w="2336" w:type="dxa"/>
          </w:tcPr>
          <w:p w14:paraId="6581DADC" w14:textId="560F9A05"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r>
      <w:tr w:rsidR="00EA2B1D" w14:paraId="2CB84826" w14:textId="77777777" w:rsidTr="00C15F76">
        <w:tc>
          <w:tcPr>
            <w:tcW w:w="8052" w:type="dxa"/>
          </w:tcPr>
          <w:p w14:paraId="191635A0" w14:textId="73CC566C" w:rsidR="00EA2B1D" w:rsidRDefault="00EA2B1D" w:rsidP="00EA2B1D">
            <w:pPr>
              <w:rPr>
                <w:rFonts w:cs="Arial"/>
              </w:rPr>
            </w:pPr>
            <w:r>
              <w:rPr>
                <w:rFonts w:cs="Arial"/>
                <w:b/>
              </w:rPr>
              <w:t xml:space="preserve">Age: </w:t>
            </w:r>
            <w:r>
              <w:rPr>
                <w:rFonts w:cs="Arial"/>
              </w:rPr>
              <w:t>Young and Old</w:t>
            </w:r>
          </w:p>
        </w:tc>
        <w:tc>
          <w:tcPr>
            <w:tcW w:w="1956" w:type="dxa"/>
          </w:tcPr>
          <w:p w14:paraId="04140D7A" w14:textId="01BD2F3B"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1604" w:type="dxa"/>
          </w:tcPr>
          <w:p w14:paraId="1055A657" w14:textId="1BE8209A" w:rsidR="00EA2B1D" w:rsidRDefault="009A3CFC"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2336" w:type="dxa"/>
          </w:tcPr>
          <w:p w14:paraId="40DB00BE" w14:textId="54238117" w:rsidR="00EA2B1D" w:rsidRDefault="009A3CFC"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000000">
              <w:rPr>
                <w:rFonts w:cs="Arial"/>
              </w:rPr>
            </w:r>
            <w:r w:rsidR="00000000">
              <w:rPr>
                <w:rFonts w:cs="Arial"/>
              </w:rPr>
              <w:fldChar w:fldCharType="separate"/>
            </w:r>
            <w:r w:rsidRPr="00A100AA">
              <w:rPr>
                <w:rFonts w:cs="Arial"/>
              </w:rPr>
              <w:fldChar w:fldCharType="end"/>
            </w:r>
          </w:p>
        </w:tc>
      </w:tr>
      <w:tr w:rsidR="00EA2B1D" w14:paraId="356059BE" w14:textId="77777777" w:rsidTr="00C15F76">
        <w:tc>
          <w:tcPr>
            <w:tcW w:w="8052" w:type="dxa"/>
          </w:tcPr>
          <w:p w14:paraId="12489F08" w14:textId="4E4900D1" w:rsidR="00EA2B1D" w:rsidRDefault="00EA2B1D" w:rsidP="00EA2B1D">
            <w:pPr>
              <w:rPr>
                <w:rFonts w:cs="Arial"/>
                <w:b/>
              </w:rPr>
            </w:pPr>
            <w:r>
              <w:rPr>
                <w:rFonts w:cs="Arial"/>
                <w:b/>
              </w:rPr>
              <w:t>Marriage and Civil Partnerships</w:t>
            </w:r>
          </w:p>
        </w:tc>
        <w:tc>
          <w:tcPr>
            <w:tcW w:w="1956" w:type="dxa"/>
          </w:tcPr>
          <w:p w14:paraId="0709B4ED" w14:textId="51C994C4"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1604" w:type="dxa"/>
          </w:tcPr>
          <w:p w14:paraId="1A6E925C" w14:textId="03909FD5"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000000">
              <w:rPr>
                <w:rFonts w:cs="Arial"/>
              </w:rPr>
            </w:r>
            <w:r w:rsidR="00000000">
              <w:rPr>
                <w:rFonts w:cs="Arial"/>
              </w:rPr>
              <w:fldChar w:fldCharType="separate"/>
            </w:r>
            <w:r w:rsidRPr="00A100AA">
              <w:rPr>
                <w:rFonts w:cs="Arial"/>
              </w:rPr>
              <w:fldChar w:fldCharType="end"/>
            </w:r>
          </w:p>
        </w:tc>
        <w:tc>
          <w:tcPr>
            <w:tcW w:w="2336" w:type="dxa"/>
          </w:tcPr>
          <w:p w14:paraId="1EF197FC" w14:textId="6F6E2CD5"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r>
    </w:tbl>
    <w:p w14:paraId="725CC5FB" w14:textId="77777777" w:rsidR="00C143E8" w:rsidRPr="001A020E" w:rsidRDefault="00C143E8" w:rsidP="00C143E8">
      <w:pPr>
        <w:tabs>
          <w:tab w:val="left" w:pos="851"/>
        </w:tabs>
        <w:rPr>
          <w:lang w:eastAsia="en-GB"/>
        </w:rPr>
      </w:pPr>
    </w:p>
    <w:sectPr w:rsidR="00C143E8" w:rsidRPr="001A020E">
      <w:pgSz w:w="16838" w:h="11906" w:orient="landscape" w:code="9"/>
      <w:pgMar w:top="54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39D4F" w14:textId="77777777" w:rsidR="002809FD" w:rsidRDefault="002809FD" w:rsidP="0051530F">
      <w:pPr>
        <w:spacing w:after="0" w:line="240" w:lineRule="auto"/>
      </w:pPr>
      <w:r>
        <w:separator/>
      </w:r>
    </w:p>
  </w:endnote>
  <w:endnote w:type="continuationSeparator" w:id="0">
    <w:p w14:paraId="37F5183E" w14:textId="77777777" w:rsidR="002809FD" w:rsidRDefault="002809FD" w:rsidP="00515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06A3" w14:textId="77777777" w:rsidR="00BB4BB6" w:rsidRDefault="00BB4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FAED" w14:textId="77777777" w:rsidR="00BB4BB6" w:rsidRDefault="00BB4B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F37E" w14:textId="77777777" w:rsidR="00BB4BB6" w:rsidRDefault="00BB4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EE620" w14:textId="77777777" w:rsidR="002809FD" w:rsidRDefault="002809FD" w:rsidP="0051530F">
      <w:pPr>
        <w:spacing w:after="0" w:line="240" w:lineRule="auto"/>
      </w:pPr>
      <w:r>
        <w:separator/>
      </w:r>
    </w:p>
  </w:footnote>
  <w:footnote w:type="continuationSeparator" w:id="0">
    <w:p w14:paraId="0211B1B7" w14:textId="77777777" w:rsidR="002809FD" w:rsidRDefault="002809FD" w:rsidP="00515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8283" w14:textId="77777777" w:rsidR="00BB4BB6" w:rsidRDefault="00BB4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556B" w14:textId="77777777" w:rsidR="00BB4BB6" w:rsidRDefault="00BB4B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439B" w14:textId="77777777" w:rsidR="00BB4BB6" w:rsidRDefault="00BB4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6CA"/>
    <w:multiLevelType w:val="hybridMultilevel"/>
    <w:tmpl w:val="E068B76C"/>
    <w:lvl w:ilvl="0" w:tplc="2E32A8E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2075"/>
    <w:multiLevelType w:val="hybridMultilevel"/>
    <w:tmpl w:val="B3B84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C0133"/>
    <w:multiLevelType w:val="hybridMultilevel"/>
    <w:tmpl w:val="118C813C"/>
    <w:lvl w:ilvl="0" w:tplc="6ABA007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31813"/>
    <w:multiLevelType w:val="hybridMultilevel"/>
    <w:tmpl w:val="A746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91516"/>
    <w:multiLevelType w:val="hybridMultilevel"/>
    <w:tmpl w:val="59E4FA92"/>
    <w:lvl w:ilvl="0" w:tplc="6ABA0076">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47E27"/>
    <w:multiLevelType w:val="hybridMultilevel"/>
    <w:tmpl w:val="FECEA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D714D"/>
    <w:multiLevelType w:val="hybridMultilevel"/>
    <w:tmpl w:val="A81A5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900668"/>
    <w:multiLevelType w:val="hybridMultilevel"/>
    <w:tmpl w:val="00E6C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00EA9"/>
    <w:multiLevelType w:val="hybridMultilevel"/>
    <w:tmpl w:val="4E269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ED0A32"/>
    <w:multiLevelType w:val="hybridMultilevel"/>
    <w:tmpl w:val="A35EF662"/>
    <w:lvl w:ilvl="0" w:tplc="6ABA007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5C5544"/>
    <w:multiLevelType w:val="hybridMultilevel"/>
    <w:tmpl w:val="D4D6C8C6"/>
    <w:lvl w:ilvl="0" w:tplc="6ABA0076">
      <w:numFmt w:val="bullet"/>
      <w:lvlText w:val="•"/>
      <w:lvlJc w:val="left"/>
      <w:pPr>
        <w:ind w:left="1080" w:hanging="72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63D70"/>
    <w:multiLevelType w:val="multilevel"/>
    <w:tmpl w:val="7DE899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5CB0777"/>
    <w:multiLevelType w:val="hybridMultilevel"/>
    <w:tmpl w:val="423452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B5C209A"/>
    <w:multiLevelType w:val="hybridMultilevel"/>
    <w:tmpl w:val="A3A479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51F269B"/>
    <w:multiLevelType w:val="hybridMultilevel"/>
    <w:tmpl w:val="7B94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144342"/>
    <w:multiLevelType w:val="hybridMultilevel"/>
    <w:tmpl w:val="D87EF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2C5B3C"/>
    <w:multiLevelType w:val="hybridMultilevel"/>
    <w:tmpl w:val="A6B6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7708474">
    <w:abstractNumId w:val="0"/>
  </w:num>
  <w:num w:numId="2" w16cid:durableId="336659288">
    <w:abstractNumId w:val="11"/>
  </w:num>
  <w:num w:numId="3" w16cid:durableId="1467888194">
    <w:abstractNumId w:val="3"/>
  </w:num>
  <w:num w:numId="4" w16cid:durableId="407003210">
    <w:abstractNumId w:val="16"/>
  </w:num>
  <w:num w:numId="5" w16cid:durableId="291789477">
    <w:abstractNumId w:val="2"/>
  </w:num>
  <w:num w:numId="6" w16cid:durableId="1087069473">
    <w:abstractNumId w:val="11"/>
  </w:num>
  <w:num w:numId="7" w16cid:durableId="2143226278">
    <w:abstractNumId w:val="11"/>
  </w:num>
  <w:num w:numId="8" w16cid:durableId="999582786">
    <w:abstractNumId w:val="9"/>
  </w:num>
  <w:num w:numId="9" w16cid:durableId="1301692410">
    <w:abstractNumId w:val="4"/>
  </w:num>
  <w:num w:numId="10" w16cid:durableId="913469455">
    <w:abstractNumId w:val="10"/>
  </w:num>
  <w:num w:numId="11" w16cid:durableId="248196234">
    <w:abstractNumId w:val="0"/>
  </w:num>
  <w:num w:numId="12" w16cid:durableId="2099788006">
    <w:abstractNumId w:val="5"/>
  </w:num>
  <w:num w:numId="13" w16cid:durableId="1996062445">
    <w:abstractNumId w:val="8"/>
  </w:num>
  <w:num w:numId="14" w16cid:durableId="1458992738">
    <w:abstractNumId w:val="12"/>
  </w:num>
  <w:num w:numId="15" w16cid:durableId="267005205">
    <w:abstractNumId w:val="6"/>
  </w:num>
  <w:num w:numId="16" w16cid:durableId="136268040">
    <w:abstractNumId w:val="15"/>
  </w:num>
  <w:num w:numId="17" w16cid:durableId="191577391">
    <w:abstractNumId w:val="14"/>
  </w:num>
  <w:num w:numId="18" w16cid:durableId="1618373307">
    <w:abstractNumId w:val="7"/>
  </w:num>
  <w:num w:numId="19" w16cid:durableId="2085839005">
    <w:abstractNumId w:val="1"/>
  </w:num>
  <w:num w:numId="20" w16cid:durableId="1170874491">
    <w:abstractNumId w:val="0"/>
  </w:num>
  <w:num w:numId="21" w16cid:durableId="1983074730">
    <w:abstractNumId w:val="0"/>
  </w:num>
  <w:num w:numId="22" w16cid:durableId="600987022">
    <w:abstractNumId w:val="0"/>
  </w:num>
  <w:num w:numId="23" w16cid:durableId="1659924076">
    <w:abstractNumId w:val="0"/>
  </w:num>
  <w:num w:numId="24" w16cid:durableId="1639870198">
    <w:abstractNumId w:val="0"/>
  </w:num>
  <w:num w:numId="25" w16cid:durableId="905064873">
    <w:abstractNumId w:val="0"/>
  </w:num>
  <w:num w:numId="26" w16cid:durableId="94131516">
    <w:abstractNumId w:val="13"/>
  </w:num>
  <w:num w:numId="27" w16cid:durableId="857042152">
    <w:abstractNumId w:val="0"/>
  </w:num>
  <w:num w:numId="28" w16cid:durableId="1961646172">
    <w:abstractNumId w:val="0"/>
  </w:num>
  <w:num w:numId="29" w16cid:durableId="162288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0E"/>
    <w:rsid w:val="000054D7"/>
    <w:rsid w:val="0000732D"/>
    <w:rsid w:val="00035C28"/>
    <w:rsid w:val="0005465F"/>
    <w:rsid w:val="0005489F"/>
    <w:rsid w:val="00066201"/>
    <w:rsid w:val="00076929"/>
    <w:rsid w:val="0007707C"/>
    <w:rsid w:val="000A050C"/>
    <w:rsid w:val="001023AE"/>
    <w:rsid w:val="001048D3"/>
    <w:rsid w:val="00134D60"/>
    <w:rsid w:val="001432D2"/>
    <w:rsid w:val="001654FD"/>
    <w:rsid w:val="00186457"/>
    <w:rsid w:val="00187B9E"/>
    <w:rsid w:val="001A020E"/>
    <w:rsid w:val="001A7996"/>
    <w:rsid w:val="001B1DFD"/>
    <w:rsid w:val="001C4F9B"/>
    <w:rsid w:val="00237A96"/>
    <w:rsid w:val="002668E5"/>
    <w:rsid w:val="00276CB8"/>
    <w:rsid w:val="002809FD"/>
    <w:rsid w:val="002A3C26"/>
    <w:rsid w:val="00342F37"/>
    <w:rsid w:val="003518C9"/>
    <w:rsid w:val="00360296"/>
    <w:rsid w:val="00380808"/>
    <w:rsid w:val="003A044F"/>
    <w:rsid w:val="003B408D"/>
    <w:rsid w:val="003D1A11"/>
    <w:rsid w:val="003D2942"/>
    <w:rsid w:val="00430A86"/>
    <w:rsid w:val="00462B05"/>
    <w:rsid w:val="00464ADC"/>
    <w:rsid w:val="00466275"/>
    <w:rsid w:val="00482903"/>
    <w:rsid w:val="0049464D"/>
    <w:rsid w:val="004A7536"/>
    <w:rsid w:val="0051530F"/>
    <w:rsid w:val="00527DFA"/>
    <w:rsid w:val="0053533E"/>
    <w:rsid w:val="005500C0"/>
    <w:rsid w:val="00572519"/>
    <w:rsid w:val="00576CF9"/>
    <w:rsid w:val="005833FE"/>
    <w:rsid w:val="00592040"/>
    <w:rsid w:val="005A48E9"/>
    <w:rsid w:val="005A65E7"/>
    <w:rsid w:val="005E576A"/>
    <w:rsid w:val="00611918"/>
    <w:rsid w:val="0063295E"/>
    <w:rsid w:val="00650D12"/>
    <w:rsid w:val="00661012"/>
    <w:rsid w:val="00666CC0"/>
    <w:rsid w:val="006769F5"/>
    <w:rsid w:val="00680F5B"/>
    <w:rsid w:val="006A6183"/>
    <w:rsid w:val="006D0DB8"/>
    <w:rsid w:val="0071268F"/>
    <w:rsid w:val="00721D01"/>
    <w:rsid w:val="0075063B"/>
    <w:rsid w:val="00753FE3"/>
    <w:rsid w:val="00771584"/>
    <w:rsid w:val="00776B73"/>
    <w:rsid w:val="00794B39"/>
    <w:rsid w:val="00797910"/>
    <w:rsid w:val="007A37BF"/>
    <w:rsid w:val="007A3CBB"/>
    <w:rsid w:val="007C5F40"/>
    <w:rsid w:val="007D1FD5"/>
    <w:rsid w:val="007D2D7A"/>
    <w:rsid w:val="007E05CE"/>
    <w:rsid w:val="007F64BA"/>
    <w:rsid w:val="0082369F"/>
    <w:rsid w:val="0085128C"/>
    <w:rsid w:val="008804E3"/>
    <w:rsid w:val="00886954"/>
    <w:rsid w:val="008956D9"/>
    <w:rsid w:val="0090198B"/>
    <w:rsid w:val="00953FB3"/>
    <w:rsid w:val="0097037A"/>
    <w:rsid w:val="009A3CFC"/>
    <w:rsid w:val="009A5655"/>
    <w:rsid w:val="009B2D12"/>
    <w:rsid w:val="009C0D2A"/>
    <w:rsid w:val="009D0281"/>
    <w:rsid w:val="009D4A21"/>
    <w:rsid w:val="00A07A74"/>
    <w:rsid w:val="00A1024D"/>
    <w:rsid w:val="00A43428"/>
    <w:rsid w:val="00A442F2"/>
    <w:rsid w:val="00A528AE"/>
    <w:rsid w:val="00A531F3"/>
    <w:rsid w:val="00A84A6A"/>
    <w:rsid w:val="00A95A0A"/>
    <w:rsid w:val="00AB65EC"/>
    <w:rsid w:val="00AC73D0"/>
    <w:rsid w:val="00AD0E11"/>
    <w:rsid w:val="00AD2DB1"/>
    <w:rsid w:val="00B03A5C"/>
    <w:rsid w:val="00B174FF"/>
    <w:rsid w:val="00B26B3D"/>
    <w:rsid w:val="00B720DC"/>
    <w:rsid w:val="00B80A45"/>
    <w:rsid w:val="00BB4BB6"/>
    <w:rsid w:val="00BD4EAF"/>
    <w:rsid w:val="00BD5973"/>
    <w:rsid w:val="00BE4CE3"/>
    <w:rsid w:val="00BE6040"/>
    <w:rsid w:val="00C143E8"/>
    <w:rsid w:val="00C15F76"/>
    <w:rsid w:val="00C24520"/>
    <w:rsid w:val="00C40617"/>
    <w:rsid w:val="00C47EE7"/>
    <w:rsid w:val="00C63A28"/>
    <w:rsid w:val="00C64810"/>
    <w:rsid w:val="00CA215D"/>
    <w:rsid w:val="00CD1976"/>
    <w:rsid w:val="00CE0804"/>
    <w:rsid w:val="00CF64DF"/>
    <w:rsid w:val="00D36E83"/>
    <w:rsid w:val="00D81776"/>
    <w:rsid w:val="00D82B54"/>
    <w:rsid w:val="00D86BDB"/>
    <w:rsid w:val="00DA6F97"/>
    <w:rsid w:val="00DB0169"/>
    <w:rsid w:val="00DE41E9"/>
    <w:rsid w:val="00E11A52"/>
    <w:rsid w:val="00E1347F"/>
    <w:rsid w:val="00E24C76"/>
    <w:rsid w:val="00E64BB6"/>
    <w:rsid w:val="00E719E1"/>
    <w:rsid w:val="00E96244"/>
    <w:rsid w:val="00EA2B1D"/>
    <w:rsid w:val="00EC1851"/>
    <w:rsid w:val="00F04DAF"/>
    <w:rsid w:val="00F26F6D"/>
    <w:rsid w:val="00F3723D"/>
    <w:rsid w:val="00F77213"/>
    <w:rsid w:val="00FA04A2"/>
    <w:rsid w:val="00FB0F2D"/>
    <w:rsid w:val="00FD4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4B5C"/>
  <w15:chartTrackingRefBased/>
  <w15:docId w15:val="{C9D56B83-5A73-491A-BD46-1D880BF3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FD5"/>
    <w:pPr>
      <w:spacing w:after="240" w:line="336" w:lineRule="auto"/>
    </w:pPr>
    <w:rPr>
      <w:rFonts w:ascii="Arial" w:hAnsi="Arial"/>
      <w:color w:val="0D0D0D" w:themeColor="text1" w:themeTint="F2"/>
      <w:sz w:val="24"/>
      <w:szCs w:val="24"/>
    </w:rPr>
  </w:style>
  <w:style w:type="paragraph" w:styleId="Heading1">
    <w:name w:val="heading 1"/>
    <w:basedOn w:val="Normal"/>
    <w:next w:val="Normal"/>
    <w:link w:val="Heading1Char"/>
    <w:uiPriority w:val="9"/>
    <w:qFormat/>
    <w:rsid w:val="007D1FD5"/>
    <w:pPr>
      <w:keepNext/>
      <w:keepLines/>
      <w:spacing w:before="480"/>
      <w:outlineLvl w:val="0"/>
    </w:pPr>
    <w:rPr>
      <w:rFonts w:eastAsiaTheme="majorEastAsia" w:cs="Arial"/>
      <w:b/>
      <w:bCs/>
      <w:color w:val="auto"/>
      <w:sz w:val="36"/>
      <w:szCs w:val="28"/>
    </w:rPr>
  </w:style>
  <w:style w:type="paragraph" w:styleId="Heading2">
    <w:name w:val="heading 2"/>
    <w:basedOn w:val="Normal"/>
    <w:next w:val="Normal"/>
    <w:link w:val="Heading2Char"/>
    <w:uiPriority w:val="9"/>
    <w:qFormat/>
    <w:rsid w:val="007D1FD5"/>
    <w:pPr>
      <w:keepNext/>
      <w:keepLines/>
      <w:spacing w:before="480"/>
      <w:outlineLvl w:val="1"/>
    </w:pPr>
    <w:rPr>
      <w:rFonts w:eastAsiaTheme="majorEastAsia" w:cs="Arial"/>
      <w:b/>
      <w:bCs/>
      <w:color w:val="auto"/>
      <w:sz w:val="32"/>
      <w:szCs w:val="26"/>
    </w:rPr>
  </w:style>
  <w:style w:type="paragraph" w:styleId="Heading3">
    <w:name w:val="heading 3"/>
    <w:basedOn w:val="Normal"/>
    <w:next w:val="Normal"/>
    <w:link w:val="Heading3Char"/>
    <w:uiPriority w:val="9"/>
    <w:qFormat/>
    <w:rsid w:val="007D1FD5"/>
    <w:pPr>
      <w:keepNext/>
      <w:keepLines/>
      <w:spacing w:before="480"/>
      <w:outlineLvl w:val="2"/>
    </w:pPr>
    <w:rPr>
      <w:rFonts w:eastAsiaTheme="majorEastAsia" w:cs="Arial"/>
      <w:b/>
      <w:bCs/>
      <w:color w:val="auto"/>
      <w:sz w:val="28"/>
    </w:rPr>
  </w:style>
  <w:style w:type="paragraph" w:styleId="Heading4">
    <w:name w:val="heading 4"/>
    <w:basedOn w:val="Normal"/>
    <w:next w:val="Normal"/>
    <w:link w:val="Heading4Char"/>
    <w:uiPriority w:val="9"/>
    <w:qFormat/>
    <w:rsid w:val="007D1FD5"/>
    <w:pPr>
      <w:keepNext/>
      <w:keepLines/>
      <w:spacing w:before="480"/>
      <w:outlineLvl w:val="3"/>
    </w:pPr>
    <w:rPr>
      <w:rFonts w:eastAsiaTheme="majorEastAsia" w:cs="Arial"/>
      <w:b/>
      <w:bCs/>
      <w:iCs/>
      <w:color w:val="auto"/>
    </w:rPr>
  </w:style>
  <w:style w:type="paragraph" w:styleId="Heading5">
    <w:name w:val="heading 5"/>
    <w:basedOn w:val="Normal"/>
    <w:next w:val="Normal"/>
    <w:link w:val="Heading5Char"/>
    <w:uiPriority w:val="9"/>
    <w:semiHidden/>
    <w:unhideWhenUsed/>
    <w:qFormat/>
    <w:rsid w:val="007D1FD5"/>
    <w:pPr>
      <w:keepNext/>
      <w:keepLines/>
      <w:spacing w:before="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7D1FD5"/>
    <w:pPr>
      <w:keepNext/>
      <w:keepLines/>
      <w:spacing w:before="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7D1FD5"/>
    <w:pPr>
      <w:keepNext/>
      <w:keepLines/>
      <w:spacing w:before="200" w:line="276"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D1FD5"/>
    <w:pPr>
      <w:keepNext/>
      <w:keepLines/>
      <w:spacing w:before="200"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D1FD5"/>
    <w:pPr>
      <w:keepNext/>
      <w:keepLines/>
      <w:spacing w:before="200" w:line="276" w:lineRule="auto"/>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FD5"/>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7D1FD5"/>
    <w:rPr>
      <w:rFonts w:ascii="Arial" w:eastAsiaTheme="majorEastAsia" w:hAnsi="Arial" w:cs="Arial"/>
      <w:b/>
      <w:bCs/>
      <w:sz w:val="32"/>
      <w:szCs w:val="26"/>
    </w:rPr>
  </w:style>
  <w:style w:type="character" w:customStyle="1" w:styleId="Heading3Char">
    <w:name w:val="Heading 3 Char"/>
    <w:basedOn w:val="DefaultParagraphFont"/>
    <w:link w:val="Heading3"/>
    <w:uiPriority w:val="9"/>
    <w:rsid w:val="007D1FD5"/>
    <w:rPr>
      <w:rFonts w:ascii="Arial" w:eastAsiaTheme="majorEastAsia" w:hAnsi="Arial" w:cs="Arial"/>
      <w:b/>
      <w:bCs/>
      <w:sz w:val="28"/>
      <w:szCs w:val="24"/>
    </w:rPr>
  </w:style>
  <w:style w:type="character" w:customStyle="1" w:styleId="Heading4Char">
    <w:name w:val="Heading 4 Char"/>
    <w:basedOn w:val="DefaultParagraphFont"/>
    <w:link w:val="Heading4"/>
    <w:uiPriority w:val="9"/>
    <w:rsid w:val="007D1FD5"/>
    <w:rPr>
      <w:rFonts w:ascii="Arial" w:eastAsiaTheme="majorEastAsia" w:hAnsi="Arial" w:cs="Arial"/>
      <w:b/>
      <w:bCs/>
      <w:iCs/>
      <w:sz w:val="24"/>
      <w:szCs w:val="24"/>
    </w:rPr>
  </w:style>
  <w:style w:type="paragraph" w:styleId="Title">
    <w:name w:val="Title"/>
    <w:basedOn w:val="Normal"/>
    <w:next w:val="Normal"/>
    <w:link w:val="TitleChar"/>
    <w:uiPriority w:val="10"/>
    <w:qFormat/>
    <w:rsid w:val="007D1FD5"/>
    <w:pPr>
      <w:spacing w:before="480" w:line="360" w:lineRule="auto"/>
      <w:contextualSpacing/>
    </w:pPr>
    <w:rPr>
      <w:rFonts w:eastAsiaTheme="majorEastAsia" w:cs="Arial"/>
      <w:b/>
      <w:bCs/>
      <w:color w:val="auto"/>
      <w:spacing w:val="5"/>
      <w:kern w:val="28"/>
      <w:sz w:val="48"/>
      <w:szCs w:val="52"/>
    </w:rPr>
  </w:style>
  <w:style w:type="character" w:customStyle="1" w:styleId="TitleChar">
    <w:name w:val="Title Char"/>
    <w:basedOn w:val="DefaultParagraphFont"/>
    <w:link w:val="Title"/>
    <w:uiPriority w:val="10"/>
    <w:rsid w:val="007D1FD5"/>
    <w:rPr>
      <w:rFonts w:ascii="Arial" w:eastAsiaTheme="majorEastAsia" w:hAnsi="Arial" w:cs="Arial"/>
      <w:b/>
      <w:bCs/>
      <w:spacing w:val="5"/>
      <w:kern w:val="28"/>
      <w:sz w:val="48"/>
      <w:szCs w:val="52"/>
    </w:rPr>
  </w:style>
  <w:style w:type="paragraph" w:styleId="ListParagraph">
    <w:name w:val="List Paragraph"/>
    <w:aliases w:val="List Bullets"/>
    <w:basedOn w:val="Normal"/>
    <w:link w:val="ListParagraphChar"/>
    <w:uiPriority w:val="34"/>
    <w:qFormat/>
    <w:rsid w:val="007D1FD5"/>
    <w:pPr>
      <w:numPr>
        <w:numId w:val="11"/>
      </w:numPr>
      <w:spacing w:line="360" w:lineRule="auto"/>
      <w:contextualSpacing/>
    </w:pPr>
  </w:style>
  <w:style w:type="character" w:customStyle="1" w:styleId="ListParagraphChar">
    <w:name w:val="List Paragraph Char"/>
    <w:aliases w:val="List Bullets Char"/>
    <w:basedOn w:val="DefaultParagraphFont"/>
    <w:link w:val="ListParagraph"/>
    <w:uiPriority w:val="34"/>
    <w:rsid w:val="00661012"/>
    <w:rPr>
      <w:rFonts w:ascii="Arial" w:hAnsi="Arial"/>
      <w:color w:val="0D0D0D" w:themeColor="text1" w:themeTint="F2"/>
      <w:sz w:val="24"/>
      <w:szCs w:val="24"/>
    </w:rPr>
  </w:style>
  <w:style w:type="paragraph" w:styleId="NoSpacing">
    <w:name w:val="No Spacing"/>
    <w:basedOn w:val="Normal"/>
    <w:link w:val="NoSpacingChar"/>
    <w:uiPriority w:val="1"/>
    <w:qFormat/>
    <w:rsid w:val="007D1FD5"/>
  </w:style>
  <w:style w:type="character" w:customStyle="1" w:styleId="NoSpacingChar">
    <w:name w:val="No Spacing Char"/>
    <w:basedOn w:val="DefaultParagraphFont"/>
    <w:link w:val="NoSpacing"/>
    <w:uiPriority w:val="1"/>
    <w:rsid w:val="007D1FD5"/>
    <w:rPr>
      <w:rFonts w:ascii="Arial" w:hAnsi="Arial"/>
      <w:color w:val="0D0D0D" w:themeColor="text1" w:themeTint="F2"/>
      <w:sz w:val="24"/>
      <w:szCs w:val="24"/>
    </w:rPr>
  </w:style>
  <w:style w:type="table" w:styleId="GridTable1Light">
    <w:name w:val="Grid Table 1 Light"/>
    <w:basedOn w:val="TableNormal"/>
    <w:uiPriority w:val="46"/>
    <w:rsid w:val="001A02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rsid w:val="001A020E"/>
    <w:rPr>
      <w:color w:val="0000FF"/>
      <w:u w:val="single"/>
    </w:rPr>
  </w:style>
  <w:style w:type="character" w:customStyle="1" w:styleId="Heading5Char">
    <w:name w:val="Heading 5 Char"/>
    <w:basedOn w:val="DefaultParagraphFont"/>
    <w:link w:val="Heading5"/>
    <w:uiPriority w:val="9"/>
    <w:semiHidden/>
    <w:rsid w:val="007D1FD5"/>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7D1FD5"/>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semiHidden/>
    <w:rsid w:val="007D1FD5"/>
    <w:rPr>
      <w:rFonts w:asciiTheme="majorHAnsi" w:eastAsiaTheme="majorEastAsia" w:hAnsiTheme="majorHAnsi" w:cstheme="majorBidi"/>
      <w:i/>
      <w:iCs/>
      <w:color w:val="0D0D0D" w:themeColor="text1" w:themeTint="F2"/>
      <w:sz w:val="24"/>
      <w:szCs w:val="24"/>
    </w:rPr>
  </w:style>
  <w:style w:type="character" w:customStyle="1" w:styleId="Heading8Char">
    <w:name w:val="Heading 8 Char"/>
    <w:basedOn w:val="DefaultParagraphFont"/>
    <w:link w:val="Heading8"/>
    <w:uiPriority w:val="9"/>
    <w:semiHidden/>
    <w:rsid w:val="007D1FD5"/>
    <w:rPr>
      <w:rFonts w:asciiTheme="majorHAnsi" w:eastAsiaTheme="majorEastAsia" w:hAnsiTheme="majorHAnsi" w:cstheme="majorBidi"/>
      <w:color w:val="0D0D0D" w:themeColor="text1" w:themeTint="F2"/>
      <w:sz w:val="20"/>
      <w:szCs w:val="20"/>
    </w:rPr>
  </w:style>
  <w:style w:type="character" w:customStyle="1" w:styleId="Heading9Char">
    <w:name w:val="Heading 9 Char"/>
    <w:basedOn w:val="DefaultParagraphFont"/>
    <w:link w:val="Heading9"/>
    <w:uiPriority w:val="9"/>
    <w:semiHidden/>
    <w:rsid w:val="007D1FD5"/>
    <w:rPr>
      <w:rFonts w:asciiTheme="majorHAnsi" w:eastAsiaTheme="majorEastAsia" w:hAnsiTheme="majorHAnsi" w:cstheme="majorBidi"/>
      <w:i/>
      <w:iCs/>
      <w:color w:val="0D0D0D" w:themeColor="text1" w:themeTint="F2"/>
      <w:sz w:val="20"/>
      <w:szCs w:val="20"/>
    </w:rPr>
  </w:style>
  <w:style w:type="paragraph" w:styleId="Caption">
    <w:name w:val="caption"/>
    <w:basedOn w:val="Normal"/>
    <w:next w:val="Normal"/>
    <w:uiPriority w:val="35"/>
    <w:semiHidden/>
    <w:unhideWhenUsed/>
    <w:qFormat/>
    <w:rsid w:val="007D1FD5"/>
    <w:pPr>
      <w:spacing w:after="200"/>
    </w:pPr>
    <w:rPr>
      <w:b/>
      <w:bCs/>
      <w:color w:val="4472C4" w:themeColor="accent1"/>
      <w:sz w:val="18"/>
      <w:szCs w:val="18"/>
    </w:rPr>
  </w:style>
  <w:style w:type="paragraph" w:styleId="Subtitle">
    <w:name w:val="Subtitle"/>
    <w:basedOn w:val="Normal"/>
    <w:next w:val="Normal"/>
    <w:link w:val="SubtitleChar"/>
    <w:uiPriority w:val="11"/>
    <w:qFormat/>
    <w:rsid w:val="007D1FD5"/>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7D1FD5"/>
    <w:rPr>
      <w:rFonts w:asciiTheme="majorHAnsi" w:eastAsiaTheme="majorEastAsia" w:hAnsiTheme="majorHAnsi" w:cstheme="majorBidi"/>
      <w:i/>
      <w:iCs/>
      <w:color w:val="4472C4" w:themeColor="accent1"/>
      <w:spacing w:val="15"/>
      <w:sz w:val="24"/>
      <w:szCs w:val="24"/>
    </w:rPr>
  </w:style>
  <w:style w:type="character" w:styleId="Strong">
    <w:name w:val="Strong"/>
    <w:uiPriority w:val="22"/>
    <w:qFormat/>
    <w:rsid w:val="007D1FD5"/>
    <w:rPr>
      <w:b/>
      <w:bCs/>
    </w:rPr>
  </w:style>
  <w:style w:type="character" w:styleId="Emphasis">
    <w:name w:val="Emphasis"/>
    <w:uiPriority w:val="20"/>
    <w:qFormat/>
    <w:rsid w:val="007D1FD5"/>
    <w:rPr>
      <w:i/>
      <w:iCs/>
    </w:rPr>
  </w:style>
  <w:style w:type="paragraph" w:styleId="Quote">
    <w:name w:val="Quote"/>
    <w:basedOn w:val="Normal"/>
    <w:next w:val="Normal"/>
    <w:link w:val="QuoteChar"/>
    <w:uiPriority w:val="29"/>
    <w:qFormat/>
    <w:rsid w:val="007D1FD5"/>
    <w:pPr>
      <w:spacing w:after="200" w:line="276" w:lineRule="auto"/>
    </w:pPr>
    <w:rPr>
      <w:i/>
      <w:iCs/>
      <w:color w:val="000000" w:themeColor="text1"/>
    </w:rPr>
  </w:style>
  <w:style w:type="character" w:customStyle="1" w:styleId="QuoteChar">
    <w:name w:val="Quote Char"/>
    <w:basedOn w:val="DefaultParagraphFont"/>
    <w:link w:val="Quote"/>
    <w:uiPriority w:val="29"/>
    <w:rsid w:val="007D1FD5"/>
    <w:rPr>
      <w:rFonts w:ascii="Arial" w:hAnsi="Arial"/>
      <w:i/>
      <w:iCs/>
      <w:color w:val="000000" w:themeColor="text1"/>
      <w:sz w:val="24"/>
      <w:szCs w:val="24"/>
    </w:rPr>
  </w:style>
  <w:style w:type="paragraph" w:styleId="IntenseQuote">
    <w:name w:val="Intense Quote"/>
    <w:basedOn w:val="Normal"/>
    <w:next w:val="Normal"/>
    <w:link w:val="IntenseQuoteChar"/>
    <w:uiPriority w:val="30"/>
    <w:qFormat/>
    <w:rsid w:val="007D1FD5"/>
    <w:pPr>
      <w:pBdr>
        <w:bottom w:val="single" w:sz="4" w:space="4" w:color="4472C4" w:themeColor="accent1"/>
      </w:pBdr>
      <w:spacing w:before="200" w:after="280" w:line="276" w:lineRule="auto"/>
      <w:ind w:left="936" w:right="936"/>
    </w:pPr>
    <w:rPr>
      <w:b/>
      <w:bCs/>
      <w:i/>
      <w:iCs/>
      <w:color w:val="4472C4" w:themeColor="accent1"/>
    </w:rPr>
  </w:style>
  <w:style w:type="character" w:customStyle="1" w:styleId="IntenseQuoteChar">
    <w:name w:val="Intense Quote Char"/>
    <w:basedOn w:val="DefaultParagraphFont"/>
    <w:link w:val="IntenseQuote"/>
    <w:uiPriority w:val="30"/>
    <w:rsid w:val="007D1FD5"/>
    <w:rPr>
      <w:rFonts w:ascii="Arial" w:hAnsi="Arial"/>
      <w:b/>
      <w:bCs/>
      <w:i/>
      <w:iCs/>
      <w:color w:val="4472C4" w:themeColor="accent1"/>
      <w:sz w:val="24"/>
      <w:szCs w:val="24"/>
    </w:rPr>
  </w:style>
  <w:style w:type="character" w:styleId="SubtleEmphasis">
    <w:name w:val="Subtle Emphasis"/>
    <w:uiPriority w:val="19"/>
    <w:qFormat/>
    <w:rsid w:val="007D1FD5"/>
    <w:rPr>
      <w:i/>
      <w:iCs/>
      <w:color w:val="808080" w:themeColor="text1" w:themeTint="7F"/>
    </w:rPr>
  </w:style>
  <w:style w:type="character" w:styleId="IntenseEmphasis">
    <w:name w:val="Intense Emphasis"/>
    <w:uiPriority w:val="21"/>
    <w:qFormat/>
    <w:rsid w:val="007D1FD5"/>
    <w:rPr>
      <w:b/>
      <w:bCs/>
      <w:i/>
      <w:iCs/>
      <w:color w:val="4472C4" w:themeColor="accent1"/>
    </w:rPr>
  </w:style>
  <w:style w:type="character" w:styleId="SubtleReference">
    <w:name w:val="Subtle Reference"/>
    <w:uiPriority w:val="31"/>
    <w:qFormat/>
    <w:rsid w:val="007D1FD5"/>
    <w:rPr>
      <w:smallCaps/>
      <w:color w:val="ED7D31" w:themeColor="accent2"/>
      <w:u w:val="single"/>
    </w:rPr>
  </w:style>
  <w:style w:type="character" w:styleId="IntenseReference">
    <w:name w:val="Intense Reference"/>
    <w:uiPriority w:val="32"/>
    <w:qFormat/>
    <w:rsid w:val="007D1FD5"/>
    <w:rPr>
      <w:b/>
      <w:bCs/>
      <w:smallCaps/>
      <w:color w:val="ED7D31" w:themeColor="accent2"/>
      <w:spacing w:val="5"/>
      <w:u w:val="single"/>
    </w:rPr>
  </w:style>
  <w:style w:type="character" w:styleId="BookTitle">
    <w:name w:val="Book Title"/>
    <w:uiPriority w:val="33"/>
    <w:qFormat/>
    <w:rsid w:val="007D1FD5"/>
    <w:rPr>
      <w:b/>
      <w:bCs/>
      <w:smallCaps/>
      <w:spacing w:val="5"/>
    </w:rPr>
  </w:style>
  <w:style w:type="paragraph" w:styleId="TOCHeading">
    <w:name w:val="TOC Heading"/>
    <w:basedOn w:val="Heading1"/>
    <w:next w:val="Normal"/>
    <w:uiPriority w:val="39"/>
    <w:semiHidden/>
    <w:unhideWhenUsed/>
    <w:qFormat/>
    <w:rsid w:val="007D1FD5"/>
    <w:pPr>
      <w:outlineLvl w:val="9"/>
    </w:pPr>
    <w:rPr>
      <w:rFonts w:asciiTheme="majorHAnsi" w:hAnsiTheme="majorHAnsi"/>
      <w:sz w:val="28"/>
    </w:rPr>
  </w:style>
  <w:style w:type="paragraph" w:customStyle="1" w:styleId="Default">
    <w:name w:val="Default"/>
    <w:rsid w:val="00C143E8"/>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C1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4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BB6"/>
    <w:rPr>
      <w:rFonts w:ascii="Arial" w:hAnsi="Arial"/>
      <w:color w:val="0D0D0D" w:themeColor="text1" w:themeTint="F2"/>
      <w:sz w:val="24"/>
      <w:szCs w:val="24"/>
    </w:rPr>
  </w:style>
  <w:style w:type="paragraph" w:styleId="Footer">
    <w:name w:val="footer"/>
    <w:basedOn w:val="Normal"/>
    <w:link w:val="FooterChar"/>
    <w:uiPriority w:val="99"/>
    <w:unhideWhenUsed/>
    <w:rsid w:val="00BB4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BB6"/>
    <w:rPr>
      <w:rFonts w:ascii="Arial" w:hAnsi="Arial"/>
      <w:color w:val="0D0D0D" w:themeColor="text1" w:themeTint="F2"/>
      <w:sz w:val="24"/>
      <w:szCs w:val="24"/>
    </w:rPr>
  </w:style>
  <w:style w:type="character" w:styleId="UnresolvedMention">
    <w:name w:val="Unresolved Mention"/>
    <w:basedOn w:val="DefaultParagraphFont"/>
    <w:uiPriority w:val="99"/>
    <w:semiHidden/>
    <w:unhideWhenUsed/>
    <w:rsid w:val="000054D7"/>
    <w:rPr>
      <w:color w:val="605E5C"/>
      <w:shd w:val="clear" w:color="auto" w:fill="E1DFDD"/>
    </w:rPr>
  </w:style>
  <w:style w:type="character" w:styleId="CommentReference">
    <w:name w:val="annotation reference"/>
    <w:basedOn w:val="DefaultParagraphFont"/>
    <w:uiPriority w:val="99"/>
    <w:semiHidden/>
    <w:unhideWhenUsed/>
    <w:rsid w:val="00650D12"/>
    <w:rPr>
      <w:sz w:val="16"/>
      <w:szCs w:val="16"/>
    </w:rPr>
  </w:style>
  <w:style w:type="paragraph" w:styleId="CommentText">
    <w:name w:val="annotation text"/>
    <w:basedOn w:val="Normal"/>
    <w:link w:val="CommentTextChar"/>
    <w:uiPriority w:val="99"/>
    <w:unhideWhenUsed/>
    <w:rsid w:val="00650D12"/>
    <w:pPr>
      <w:spacing w:line="240" w:lineRule="auto"/>
    </w:pPr>
    <w:rPr>
      <w:sz w:val="20"/>
      <w:szCs w:val="20"/>
    </w:rPr>
  </w:style>
  <w:style w:type="character" w:customStyle="1" w:styleId="CommentTextChar">
    <w:name w:val="Comment Text Char"/>
    <w:basedOn w:val="DefaultParagraphFont"/>
    <w:link w:val="CommentText"/>
    <w:uiPriority w:val="99"/>
    <w:rsid w:val="00650D12"/>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650D12"/>
    <w:rPr>
      <w:b/>
      <w:bCs/>
    </w:rPr>
  </w:style>
  <w:style w:type="character" w:customStyle="1" w:styleId="CommentSubjectChar">
    <w:name w:val="Comment Subject Char"/>
    <w:basedOn w:val="CommentTextChar"/>
    <w:link w:val="CommentSubject"/>
    <w:uiPriority w:val="99"/>
    <w:semiHidden/>
    <w:rsid w:val="00650D12"/>
    <w:rPr>
      <w:rFonts w:ascii="Arial" w:hAnsi="Arial"/>
      <w:b/>
      <w:bCs/>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13164">
      <w:bodyDiv w:val="1"/>
      <w:marLeft w:val="0"/>
      <w:marRight w:val="0"/>
      <w:marTop w:val="0"/>
      <w:marBottom w:val="0"/>
      <w:divBdr>
        <w:top w:val="none" w:sz="0" w:space="0" w:color="auto"/>
        <w:left w:val="none" w:sz="0" w:space="0" w:color="auto"/>
        <w:bottom w:val="none" w:sz="0" w:space="0" w:color="auto"/>
        <w:right w:val="none" w:sz="0" w:space="0" w:color="auto"/>
      </w:divBdr>
    </w:div>
    <w:div w:id="142148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pga/2018/12/contents/enacte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Elizabeth.rogers@lincs.police.uk" TargetMode="External"/><Relationship Id="rId7" Type="http://schemas.openxmlformats.org/officeDocument/2006/relationships/endnotes" Target="endnotes.xml"/><Relationship Id="rId12" Type="http://schemas.openxmlformats.org/officeDocument/2006/relationships/hyperlink" Target="http://www.hse.gov.uk/legisl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8/37/conten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legislation.gov.uk/ukpga/2010/15/content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legislation.gov.uk/ukpga/1998/42/schedule/1/part/I/chapter/12" TargetMode="External"/><Relationship Id="rId14" Type="http://schemas.openxmlformats.org/officeDocument/2006/relationships/hyperlink" Target="http://www.legislation.gov.uk/ukpga/2000/36/contents" TargetMode="External"/><Relationship Id="rId22" Type="http://schemas.openxmlformats.org/officeDocument/2006/relationships/hyperlink" Target="mailto:guy.leach2@lincs.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F5AC-FE67-4567-B94B-2D3EF73B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3711</Words>
  <Characters>21156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TecSafe policy</vt:lpstr>
    </vt:vector>
  </TitlesOfParts>
  <Company>Lincolnshire Police</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WATER policy PD 269</dc:title>
  <dc:subject/>
  <dc:creator>david.hull@lincs.police.uk</dc:creator>
  <cp:keywords/>
  <dc:description/>
  <cp:lastModifiedBy>Jacquest, Michael</cp:lastModifiedBy>
  <cp:revision>4</cp:revision>
  <dcterms:created xsi:type="dcterms:W3CDTF">2024-05-08T10:10:00Z</dcterms:created>
  <dcterms:modified xsi:type="dcterms:W3CDTF">2024-05-09T08:07:00Z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2023-06-06T14:49:29Z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87353cf4-3757-4092-9fda-78640e7f5d95</vt:lpwstr>
  </property>
  <property fmtid="{D5CDD505-2E9C-101B-9397-08002B2CF9AE}" pid="8" name="MSIP_Label_cd7679a8-b296-4807-8cee-66cc2d806f92_ContentBits">
    <vt:lpwstr>0</vt:lpwstr>
  </property>
</Properties>
</file>