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71D6" w14:textId="32C9ABB1" w:rsidR="00E64BB6" w:rsidRDefault="001A020E" w:rsidP="001A020E">
      <w:pPr>
        <w:pStyle w:val="Title"/>
        <w:jc w:val="center"/>
      </w:pPr>
      <w:r>
        <w:t>Lincolnshire Police</w:t>
      </w:r>
      <w:r w:rsidR="00EC1851">
        <w:t xml:space="preserve"> </w:t>
      </w:r>
      <w:r w:rsidR="00EC1851">
        <w:br/>
        <w:t>Policy Document</w:t>
      </w:r>
    </w:p>
    <w:p w14:paraId="357A7E23" w14:textId="1813BC49" w:rsidR="001A020E" w:rsidRDefault="001A020E" w:rsidP="001A020E">
      <w:pPr>
        <w:jc w:val="center"/>
      </w:pPr>
      <w:r>
        <w:rPr>
          <w:noProof/>
        </w:rPr>
        <w:drawing>
          <wp:inline distT="0" distB="0" distL="0" distR="0" wp14:anchorId="0EE7DA38" wp14:editId="3B2CD540">
            <wp:extent cx="2409825" cy="2409825"/>
            <wp:effectExtent l="0" t="0" r="0" b="9525"/>
            <wp:docPr id="1" name="Picture 1" descr="Lincolnshire Polic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colnshire Police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9825" cy="2409825"/>
                    </a:xfrm>
                    <a:prstGeom prst="rect">
                      <a:avLst/>
                    </a:prstGeom>
                    <a:noFill/>
                    <a:ln>
                      <a:noFill/>
                    </a:ln>
                  </pic:spPr>
                </pic:pic>
              </a:graphicData>
            </a:graphic>
          </wp:inline>
        </w:drawing>
      </w:r>
    </w:p>
    <w:p w14:paraId="482AF218" w14:textId="2032F6EF" w:rsidR="001A020E" w:rsidRDefault="00267077" w:rsidP="00267077">
      <w:pPr>
        <w:pStyle w:val="Heading1"/>
        <w:jc w:val="center"/>
      </w:pPr>
      <w:r>
        <w:t>Rape investigation policy PD 176</w:t>
      </w:r>
    </w:p>
    <w:p w14:paraId="28280CE9" w14:textId="77777777" w:rsidR="001A020E" w:rsidRDefault="001A020E" w:rsidP="001A020E">
      <w:pPr>
        <w:pStyle w:val="Heading2"/>
      </w:pPr>
      <w:r>
        <w:t>Policy document information</w:t>
      </w:r>
    </w:p>
    <w:p w14:paraId="238400B7" w14:textId="08419297" w:rsidR="001A020E" w:rsidRDefault="001A020E" w:rsidP="001A020E">
      <w:pPr>
        <w:tabs>
          <w:tab w:val="left" w:pos="2835"/>
        </w:tabs>
      </w:pPr>
      <w:r w:rsidRPr="0090198B">
        <w:rPr>
          <w:b/>
          <w:bCs/>
        </w:rPr>
        <w:t>Reference number</w:t>
      </w:r>
      <w:r>
        <w:t>:</w:t>
      </w:r>
      <w:r w:rsidR="0051530F">
        <w:tab/>
      </w:r>
      <w:r w:rsidR="00267077" w:rsidRPr="00267077">
        <w:t>PD 176</w:t>
      </w:r>
    </w:p>
    <w:p w14:paraId="1A1C3D8E" w14:textId="07834E68" w:rsidR="001A020E" w:rsidRDefault="001A020E" w:rsidP="001A020E">
      <w:pPr>
        <w:tabs>
          <w:tab w:val="left" w:pos="2835"/>
        </w:tabs>
      </w:pPr>
      <w:r w:rsidRPr="0090198B">
        <w:rPr>
          <w:b/>
          <w:bCs/>
        </w:rPr>
        <w:t>Policy sponsor</w:t>
      </w:r>
      <w:r>
        <w:t>:</w:t>
      </w:r>
      <w:r w:rsidR="00267077">
        <w:tab/>
      </w:r>
      <w:r w:rsidR="00267077" w:rsidRPr="00267077">
        <w:t>ACC</w:t>
      </w:r>
    </w:p>
    <w:p w14:paraId="48723898" w14:textId="3793942F" w:rsidR="001A020E" w:rsidRDefault="001A020E" w:rsidP="001A020E">
      <w:pPr>
        <w:tabs>
          <w:tab w:val="left" w:pos="2835"/>
        </w:tabs>
      </w:pPr>
      <w:r w:rsidRPr="0090198B">
        <w:rPr>
          <w:b/>
          <w:bCs/>
        </w:rPr>
        <w:t>Policy owner</w:t>
      </w:r>
      <w:r>
        <w:t>:</w:t>
      </w:r>
      <w:r w:rsidR="00267077">
        <w:tab/>
      </w:r>
      <w:r w:rsidR="00267077" w:rsidRPr="00267077">
        <w:t>Head of PVP – D/Supt Liz Rogers</w:t>
      </w:r>
    </w:p>
    <w:p w14:paraId="60F1E80C" w14:textId="55A86D72" w:rsidR="001A020E" w:rsidRDefault="001A020E" w:rsidP="001A020E">
      <w:pPr>
        <w:tabs>
          <w:tab w:val="left" w:pos="2835"/>
        </w:tabs>
      </w:pPr>
      <w:r w:rsidRPr="0090198B">
        <w:rPr>
          <w:b/>
          <w:bCs/>
        </w:rPr>
        <w:t>Author</w:t>
      </w:r>
      <w:r>
        <w:t>:</w:t>
      </w:r>
      <w:r w:rsidR="00267077">
        <w:tab/>
      </w:r>
      <w:r w:rsidR="00267077" w:rsidRPr="00267077">
        <w:t>DI Jo Fortune</w:t>
      </w:r>
    </w:p>
    <w:p w14:paraId="397B8615" w14:textId="2DD6C3F3" w:rsidR="00267077" w:rsidRDefault="00267077" w:rsidP="001A020E">
      <w:pPr>
        <w:tabs>
          <w:tab w:val="left" w:pos="2835"/>
        </w:tabs>
      </w:pPr>
      <w:r w:rsidRPr="00267077">
        <w:rPr>
          <w:b/>
          <w:bCs/>
        </w:rPr>
        <w:t>Reviewer:</w:t>
      </w:r>
      <w:r>
        <w:tab/>
      </w:r>
      <w:r>
        <w:rPr>
          <w:rFonts w:cs="Arial"/>
          <w:szCs w:val="28"/>
        </w:rPr>
        <w:t>DCI Reid Martin</w:t>
      </w:r>
    </w:p>
    <w:p w14:paraId="3B60037B" w14:textId="526AE633" w:rsidR="001A020E" w:rsidRDefault="001A020E" w:rsidP="001A020E">
      <w:pPr>
        <w:tabs>
          <w:tab w:val="left" w:pos="2835"/>
        </w:tabs>
      </w:pPr>
      <w:r w:rsidRPr="0090198B">
        <w:rPr>
          <w:b/>
          <w:bCs/>
        </w:rPr>
        <w:t>Publication date</w:t>
      </w:r>
      <w:r>
        <w:t>:</w:t>
      </w:r>
      <w:r w:rsidR="00267077">
        <w:tab/>
      </w:r>
      <w:r w:rsidR="00267077" w:rsidRPr="00267077">
        <w:t>August 2023</w:t>
      </w:r>
    </w:p>
    <w:p w14:paraId="0CD292D2" w14:textId="668EB695" w:rsidR="001048D3" w:rsidRDefault="001048D3" w:rsidP="001A020E">
      <w:pPr>
        <w:tabs>
          <w:tab w:val="left" w:pos="2835"/>
        </w:tabs>
      </w:pPr>
      <w:r w:rsidRPr="0090198B">
        <w:rPr>
          <w:b/>
          <w:bCs/>
        </w:rPr>
        <w:t>Review date</w:t>
      </w:r>
      <w:r>
        <w:t>:</w:t>
      </w:r>
      <w:r w:rsidR="00267077">
        <w:tab/>
      </w:r>
      <w:r w:rsidR="00267077" w:rsidRPr="00267077">
        <w:t>August 202</w:t>
      </w:r>
      <w:r w:rsidR="00267077">
        <w:t>5</w:t>
      </w:r>
    </w:p>
    <w:p w14:paraId="5503069F" w14:textId="77777777" w:rsidR="007D1FD5" w:rsidRDefault="007D1FD5">
      <w:pPr>
        <w:spacing w:after="160" w:line="259" w:lineRule="auto"/>
        <w:rPr>
          <w:rFonts w:eastAsiaTheme="majorEastAsia" w:cs="Arial"/>
          <w:b/>
          <w:bCs/>
          <w:sz w:val="32"/>
          <w:szCs w:val="26"/>
        </w:rPr>
      </w:pPr>
      <w:r>
        <w:br w:type="page"/>
      </w:r>
    </w:p>
    <w:p w14:paraId="6D724778" w14:textId="1A6FFB29" w:rsidR="001A020E" w:rsidRDefault="001A020E" w:rsidP="001A020E">
      <w:pPr>
        <w:pStyle w:val="Heading2"/>
      </w:pPr>
      <w:r>
        <w:lastRenderedPageBreak/>
        <w:t>Version history</w:t>
      </w:r>
    </w:p>
    <w:tbl>
      <w:tblPr>
        <w:tblStyle w:val="GridTable1Light"/>
        <w:tblW w:w="0" w:type="auto"/>
        <w:tblLook w:val="04A0" w:firstRow="1" w:lastRow="0" w:firstColumn="1" w:lastColumn="0" w:noHBand="0" w:noVBand="1"/>
        <w:tblCaption w:val="Version history"/>
        <w:tblDescription w:val="Details of current and previous versions of the policy"/>
      </w:tblPr>
      <w:tblGrid>
        <w:gridCol w:w="1555"/>
        <w:gridCol w:w="2045"/>
        <w:gridCol w:w="5416"/>
      </w:tblGrid>
      <w:tr w:rsidR="001A020E" w:rsidRPr="003E5BE4" w14:paraId="617B918A" w14:textId="77777777" w:rsidTr="00564C8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42CB2DD" w14:textId="77777777" w:rsidR="001A020E" w:rsidRPr="003E5BE4" w:rsidRDefault="001A020E" w:rsidP="00564C86">
            <w:pPr>
              <w:pStyle w:val="NoSpacing"/>
              <w:rPr>
                <w:b w:val="0"/>
                <w:bCs w:val="0"/>
              </w:rPr>
            </w:pPr>
            <w:r w:rsidRPr="003E5BE4">
              <w:t>Version</w:t>
            </w:r>
          </w:p>
        </w:tc>
        <w:tc>
          <w:tcPr>
            <w:tcW w:w="2045" w:type="dxa"/>
            <w:vAlign w:val="center"/>
          </w:tcPr>
          <w:p w14:paraId="51D6B442" w14:textId="77777777" w:rsidR="001A020E" w:rsidRPr="003E5BE4" w:rsidRDefault="001A020E" w:rsidP="00564C86">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3E5BE4">
              <w:t>Date</w:t>
            </w:r>
          </w:p>
        </w:tc>
        <w:tc>
          <w:tcPr>
            <w:tcW w:w="5416" w:type="dxa"/>
            <w:vAlign w:val="center"/>
          </w:tcPr>
          <w:p w14:paraId="34CE1800" w14:textId="77777777" w:rsidR="001A020E" w:rsidRPr="003E5BE4" w:rsidRDefault="001A020E" w:rsidP="00564C86">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3E5BE4">
              <w:t>Reason for issue</w:t>
            </w:r>
          </w:p>
        </w:tc>
      </w:tr>
      <w:tr w:rsidR="00267077" w14:paraId="21C082C0"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5C8B374B" w14:textId="76E99AD2" w:rsidR="00267077" w:rsidRPr="00267077" w:rsidRDefault="00267077" w:rsidP="00267077">
            <w:pPr>
              <w:pStyle w:val="NoSpacing"/>
              <w:rPr>
                <w:rFonts w:cs="Arial"/>
                <w:b w:val="0"/>
                <w:bCs w:val="0"/>
              </w:rPr>
            </w:pPr>
            <w:r w:rsidRPr="00267077">
              <w:rPr>
                <w:rFonts w:cs="Arial"/>
                <w:b w:val="0"/>
                <w:bCs w:val="0"/>
                <w:szCs w:val="28"/>
              </w:rPr>
              <w:t>4</w:t>
            </w:r>
          </w:p>
        </w:tc>
        <w:tc>
          <w:tcPr>
            <w:tcW w:w="2045" w:type="dxa"/>
          </w:tcPr>
          <w:p w14:paraId="63D5221E" w14:textId="7AE5628C" w:rsidR="00267077" w:rsidRPr="001048D3" w:rsidRDefault="00267077" w:rsidP="00267077">
            <w:pPr>
              <w:pStyle w:val="NoSpacing"/>
              <w:cnfStyle w:val="000000000000" w:firstRow="0" w:lastRow="0" w:firstColumn="0" w:lastColumn="0" w:oddVBand="0" w:evenVBand="0" w:oddHBand="0" w:evenHBand="0" w:firstRowFirstColumn="0" w:firstRowLastColumn="0" w:lastRowFirstColumn="0" w:lastRowLastColumn="0"/>
              <w:rPr>
                <w:rFonts w:cs="Arial"/>
              </w:rPr>
            </w:pPr>
            <w:r w:rsidRPr="006D0797">
              <w:rPr>
                <w:rFonts w:cs="Arial"/>
                <w:szCs w:val="28"/>
              </w:rPr>
              <w:t>November 2017</w:t>
            </w:r>
          </w:p>
        </w:tc>
        <w:tc>
          <w:tcPr>
            <w:tcW w:w="5416" w:type="dxa"/>
          </w:tcPr>
          <w:p w14:paraId="028ACBFE" w14:textId="4D02833A" w:rsidR="00267077" w:rsidRPr="001048D3" w:rsidRDefault="00267077" w:rsidP="00267077">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szCs w:val="28"/>
              </w:rPr>
              <w:t>Review</w:t>
            </w:r>
          </w:p>
        </w:tc>
      </w:tr>
      <w:tr w:rsidR="00267077" w14:paraId="7AE31E9B"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6F5F3D15" w14:textId="74713756" w:rsidR="00267077" w:rsidRPr="00267077" w:rsidRDefault="00267077" w:rsidP="00267077">
            <w:pPr>
              <w:pStyle w:val="NoSpacing"/>
              <w:rPr>
                <w:rFonts w:cs="Arial"/>
                <w:b w:val="0"/>
                <w:bCs w:val="0"/>
              </w:rPr>
            </w:pPr>
            <w:r w:rsidRPr="00267077">
              <w:rPr>
                <w:rFonts w:cs="Arial"/>
                <w:b w:val="0"/>
                <w:bCs w:val="0"/>
                <w:szCs w:val="28"/>
              </w:rPr>
              <w:t>5</w:t>
            </w:r>
          </w:p>
        </w:tc>
        <w:tc>
          <w:tcPr>
            <w:tcW w:w="2045" w:type="dxa"/>
          </w:tcPr>
          <w:p w14:paraId="33B751D4" w14:textId="3664D455" w:rsidR="00267077" w:rsidRPr="001048D3" w:rsidRDefault="00267077" w:rsidP="00267077">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szCs w:val="28"/>
              </w:rPr>
              <w:t>August 2019</w:t>
            </w:r>
          </w:p>
        </w:tc>
        <w:tc>
          <w:tcPr>
            <w:tcW w:w="5416" w:type="dxa"/>
          </w:tcPr>
          <w:p w14:paraId="1ACB0DF5" w14:textId="55327E8B" w:rsidR="00267077" w:rsidRPr="001048D3" w:rsidRDefault="00267077" w:rsidP="00267077">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szCs w:val="28"/>
              </w:rPr>
              <w:t>Biennial Review</w:t>
            </w:r>
          </w:p>
        </w:tc>
      </w:tr>
      <w:tr w:rsidR="00267077" w14:paraId="198B49E2"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7164D16C" w14:textId="0D2D8725" w:rsidR="00267077" w:rsidRPr="00267077" w:rsidRDefault="00267077" w:rsidP="00267077">
            <w:pPr>
              <w:pStyle w:val="NoSpacing"/>
              <w:rPr>
                <w:rFonts w:cs="Arial"/>
                <w:b w:val="0"/>
                <w:bCs w:val="0"/>
              </w:rPr>
            </w:pPr>
            <w:r w:rsidRPr="00267077">
              <w:rPr>
                <w:rFonts w:cs="Arial"/>
                <w:b w:val="0"/>
                <w:bCs w:val="0"/>
                <w:szCs w:val="28"/>
              </w:rPr>
              <w:t>6</w:t>
            </w:r>
          </w:p>
        </w:tc>
        <w:tc>
          <w:tcPr>
            <w:tcW w:w="2045" w:type="dxa"/>
          </w:tcPr>
          <w:p w14:paraId="43C30CA0" w14:textId="26A65875" w:rsidR="00267077" w:rsidRPr="001048D3" w:rsidRDefault="00267077" w:rsidP="00267077">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szCs w:val="28"/>
              </w:rPr>
              <w:t>August 2021</w:t>
            </w:r>
          </w:p>
        </w:tc>
        <w:tc>
          <w:tcPr>
            <w:tcW w:w="5416" w:type="dxa"/>
          </w:tcPr>
          <w:p w14:paraId="2CC841A6" w14:textId="569C34F4" w:rsidR="00267077" w:rsidRPr="001048D3" w:rsidRDefault="00267077" w:rsidP="00267077">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szCs w:val="28"/>
              </w:rPr>
              <w:t>Biennial Review</w:t>
            </w:r>
          </w:p>
        </w:tc>
      </w:tr>
      <w:tr w:rsidR="00267077" w14:paraId="65116E97"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0F9E2F02" w14:textId="41A8542D" w:rsidR="00267077" w:rsidRPr="00267077" w:rsidRDefault="00267077" w:rsidP="00267077">
            <w:pPr>
              <w:pStyle w:val="NoSpacing"/>
              <w:rPr>
                <w:rFonts w:cs="Arial"/>
                <w:b w:val="0"/>
                <w:bCs w:val="0"/>
              </w:rPr>
            </w:pPr>
            <w:r w:rsidRPr="00267077">
              <w:rPr>
                <w:rFonts w:cs="Arial"/>
                <w:b w:val="0"/>
                <w:bCs w:val="0"/>
                <w:szCs w:val="28"/>
              </w:rPr>
              <w:t>7</w:t>
            </w:r>
          </w:p>
        </w:tc>
        <w:tc>
          <w:tcPr>
            <w:tcW w:w="2045" w:type="dxa"/>
          </w:tcPr>
          <w:p w14:paraId="427E1347" w14:textId="71B20C86" w:rsidR="00267077" w:rsidRPr="001048D3" w:rsidRDefault="00267077" w:rsidP="00267077">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szCs w:val="28"/>
              </w:rPr>
              <w:t>July 2023</w:t>
            </w:r>
          </w:p>
        </w:tc>
        <w:tc>
          <w:tcPr>
            <w:tcW w:w="5416" w:type="dxa"/>
          </w:tcPr>
          <w:p w14:paraId="79B6636E" w14:textId="56976A23" w:rsidR="00267077" w:rsidRPr="001048D3" w:rsidRDefault="00267077" w:rsidP="00267077">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szCs w:val="28"/>
              </w:rPr>
              <w:t>Biennial Review</w:t>
            </w:r>
          </w:p>
        </w:tc>
      </w:tr>
    </w:tbl>
    <w:p w14:paraId="02994B12" w14:textId="77777777" w:rsidR="001A020E" w:rsidRPr="000A31B0" w:rsidRDefault="001A020E" w:rsidP="001A020E">
      <w:pPr>
        <w:pStyle w:val="Heading2"/>
      </w:pPr>
      <w:r w:rsidRPr="000A31B0">
        <w:t>Code of Ethics</w:t>
      </w:r>
    </w:p>
    <w:p w14:paraId="4DE1980D" w14:textId="77777777" w:rsidR="001A020E" w:rsidRDefault="001A020E" w:rsidP="001A020E">
      <w:r w:rsidRPr="000A31B0">
        <w:t>All staff involved in carrying out functions under this policy and associated procedures and appendices will do so in accordance with the principles of the Code of Ethics. The aim of the Code of Ethics is to support each member of the policing profession to deliver the highest professional standards in their service to the public.</w:t>
      </w:r>
    </w:p>
    <w:p w14:paraId="62931280" w14:textId="2DA42E7C" w:rsidR="001A020E" w:rsidRDefault="001A020E" w:rsidP="001A020E">
      <w:pPr>
        <w:pStyle w:val="Heading2"/>
      </w:pPr>
      <w:r w:rsidRPr="00205C00">
        <w:t xml:space="preserve">Legislative </w:t>
      </w:r>
      <w:r w:rsidR="003A044F">
        <w:t>c</w:t>
      </w:r>
      <w:r w:rsidRPr="00205C00">
        <w:t>ompliance</w:t>
      </w:r>
    </w:p>
    <w:p w14:paraId="3F3998EF" w14:textId="26B02D2D" w:rsidR="001A020E" w:rsidRPr="00205C00" w:rsidRDefault="001A020E" w:rsidP="001A020E">
      <w:r w:rsidRPr="00205C00">
        <w:t xml:space="preserve">This document has been drafted to comply with the principles of the Human Rights Act. Proportionality has been identified as the key to Human Rights compliance, this means striking a fair balance between the rights of the </w:t>
      </w:r>
      <w:r>
        <w:t>staff</w:t>
      </w:r>
      <w:r w:rsidRPr="00205C00">
        <w:t xml:space="preserve"> and those of the rest of the community. There must be a reasonable relationship between the aim to be achieved and the means used.</w:t>
      </w:r>
    </w:p>
    <w:p w14:paraId="1FACD9E6" w14:textId="77777777" w:rsidR="001A020E" w:rsidRDefault="001A020E" w:rsidP="001A020E">
      <w:r w:rsidRPr="00205C00">
        <w:t>Equality and Diversity issues have also been considered to ensure compliance with the Equality Act 2010 and meet our legal obligation in relation to the equality duty. In addition, Data Protection, Freedom of Information and Health and Safety Issues have been considered. Adherence to this policy or procedure will therefore ensure compliance with all relevant legislation and internal policies.</w:t>
      </w:r>
    </w:p>
    <w:p w14:paraId="45301490" w14:textId="77777777" w:rsidR="001A020E" w:rsidRPr="00365AB2" w:rsidRDefault="001A020E" w:rsidP="001A020E">
      <w:pPr>
        <w:rPr>
          <w:color w:val="FF0000"/>
        </w:rPr>
      </w:pPr>
      <w:r w:rsidRPr="00365AB2">
        <w:t>Other legislation/law which this policy has been drafted to comply with:</w:t>
      </w:r>
    </w:p>
    <w:p w14:paraId="6091A124" w14:textId="77777777" w:rsidR="001A020E" w:rsidRPr="008F272F" w:rsidRDefault="005146E1" w:rsidP="001A020E">
      <w:pPr>
        <w:pStyle w:val="ListParagraph"/>
        <w:numPr>
          <w:ilvl w:val="0"/>
          <w:numId w:val="3"/>
        </w:numPr>
      </w:pPr>
      <w:hyperlink r:id="rId9" w:history="1">
        <w:r w:rsidR="001A020E" w:rsidRPr="008F272F">
          <w:rPr>
            <w:rStyle w:val="Hyperlink"/>
          </w:rPr>
          <w:t>Human Rights Act 1998 (</w:t>
        </w:r>
        <w:proofErr w:type="gramStart"/>
        <w:r w:rsidR="001A020E" w:rsidRPr="008F272F">
          <w:rPr>
            <w:rStyle w:val="Hyperlink"/>
          </w:rPr>
          <w:t>in particular A.</w:t>
        </w:r>
        <w:proofErr w:type="gramEnd"/>
        <w:r w:rsidR="001A020E" w:rsidRPr="008F272F">
          <w:rPr>
            <w:rStyle w:val="Hyperlink"/>
          </w:rPr>
          <w:t>14 – Prohibition of discrimination)</w:t>
        </w:r>
      </w:hyperlink>
    </w:p>
    <w:p w14:paraId="4DDFD132" w14:textId="77777777" w:rsidR="001A020E" w:rsidRPr="008F272F" w:rsidRDefault="005146E1" w:rsidP="001A020E">
      <w:pPr>
        <w:pStyle w:val="ListParagraph"/>
        <w:numPr>
          <w:ilvl w:val="0"/>
          <w:numId w:val="3"/>
        </w:numPr>
      </w:pPr>
      <w:hyperlink r:id="rId10" w:history="1">
        <w:r w:rsidR="001A020E" w:rsidRPr="008F272F">
          <w:rPr>
            <w:rStyle w:val="Hyperlink"/>
          </w:rPr>
          <w:t>Equality Act 2010</w:t>
        </w:r>
      </w:hyperlink>
    </w:p>
    <w:p w14:paraId="1E695351" w14:textId="77777777" w:rsidR="001A020E" w:rsidRPr="008F272F" w:rsidRDefault="005146E1" w:rsidP="001A020E">
      <w:pPr>
        <w:pStyle w:val="ListParagraph"/>
        <w:numPr>
          <w:ilvl w:val="0"/>
          <w:numId w:val="3"/>
        </w:numPr>
      </w:pPr>
      <w:hyperlink r:id="rId11" w:history="1">
        <w:r w:rsidR="001A020E" w:rsidRPr="008F272F">
          <w:rPr>
            <w:rStyle w:val="Hyperlink"/>
          </w:rPr>
          <w:t>Crime and Disorder Act 1998</w:t>
        </w:r>
      </w:hyperlink>
    </w:p>
    <w:p w14:paraId="49AE1055" w14:textId="77777777" w:rsidR="001A020E" w:rsidRPr="008F272F" w:rsidRDefault="005146E1" w:rsidP="001A020E">
      <w:pPr>
        <w:pStyle w:val="ListParagraph"/>
        <w:numPr>
          <w:ilvl w:val="0"/>
          <w:numId w:val="3"/>
        </w:numPr>
      </w:pPr>
      <w:hyperlink r:id="rId12" w:history="1">
        <w:r w:rsidR="001A020E" w:rsidRPr="008F272F">
          <w:rPr>
            <w:rStyle w:val="Hyperlink"/>
          </w:rPr>
          <w:t>H&amp;S legislation</w:t>
        </w:r>
      </w:hyperlink>
    </w:p>
    <w:p w14:paraId="35B578C7" w14:textId="77777777" w:rsidR="001A020E" w:rsidRPr="008F272F" w:rsidRDefault="005146E1" w:rsidP="001A020E">
      <w:pPr>
        <w:pStyle w:val="ListParagraph"/>
        <w:numPr>
          <w:ilvl w:val="0"/>
          <w:numId w:val="3"/>
        </w:numPr>
      </w:pPr>
      <w:hyperlink r:id="rId13" w:history="1">
        <w:r w:rsidR="001A020E" w:rsidRPr="008F272F">
          <w:rPr>
            <w:rStyle w:val="Hyperlink"/>
          </w:rPr>
          <w:t>Data Protection Act 2018</w:t>
        </w:r>
      </w:hyperlink>
    </w:p>
    <w:p w14:paraId="0DE7335A" w14:textId="77777777" w:rsidR="001A020E" w:rsidRPr="008F272F" w:rsidRDefault="005146E1" w:rsidP="001A020E">
      <w:pPr>
        <w:pStyle w:val="ListParagraph"/>
        <w:numPr>
          <w:ilvl w:val="0"/>
          <w:numId w:val="3"/>
        </w:numPr>
      </w:pPr>
      <w:hyperlink r:id="rId14" w:history="1">
        <w:r w:rsidR="001A020E" w:rsidRPr="008F272F">
          <w:rPr>
            <w:rStyle w:val="Hyperlink"/>
          </w:rPr>
          <w:t>Freedom Of Information Act 2000</w:t>
        </w:r>
      </w:hyperlink>
    </w:p>
    <w:p w14:paraId="79A9BAFD" w14:textId="79E67702" w:rsidR="001A020E" w:rsidRDefault="001A020E" w:rsidP="001A020E">
      <w:pPr>
        <w:pStyle w:val="Heading2"/>
      </w:pPr>
      <w:r w:rsidRPr="003B2356">
        <w:t xml:space="preserve">Security </w:t>
      </w:r>
      <w:r w:rsidR="003A044F">
        <w:t>c</w:t>
      </w:r>
      <w:r w:rsidRPr="003B2356">
        <w:t>lassification</w:t>
      </w:r>
    </w:p>
    <w:p w14:paraId="7F777E0F" w14:textId="3F0B37A8" w:rsidR="001A020E" w:rsidRDefault="001A020E" w:rsidP="001A020E">
      <w:pPr>
        <w:ind w:right="-51"/>
        <w:jc w:val="both"/>
        <w:rPr>
          <w:rFonts w:cs="Arial"/>
          <w:b/>
        </w:rPr>
      </w:pPr>
      <w:r>
        <w:rPr>
          <w:rFonts w:cs="Arial"/>
          <w:b/>
        </w:rPr>
        <w:t xml:space="preserve">Policy to be published on Intranet: </w:t>
      </w:r>
      <w:r w:rsidR="0082369F" w:rsidRPr="0082369F">
        <w:rPr>
          <w:rFonts w:cs="Arial"/>
          <w:bCs/>
        </w:rPr>
        <w:t>Yes</w:t>
      </w:r>
    </w:p>
    <w:p w14:paraId="262BF2EC" w14:textId="72F93105" w:rsidR="001A020E" w:rsidRPr="008F272F" w:rsidRDefault="001A020E" w:rsidP="001A020E">
      <w:pPr>
        <w:spacing w:before="240"/>
        <w:ind w:right="-51"/>
        <w:jc w:val="both"/>
        <w:rPr>
          <w:rFonts w:cs="Arial"/>
          <w:b/>
        </w:rPr>
      </w:pPr>
      <w:r>
        <w:rPr>
          <w:rFonts w:cs="Arial"/>
          <w:b/>
        </w:rPr>
        <w:t xml:space="preserve">Policy to be published on Force Website: </w:t>
      </w:r>
      <w:r w:rsidR="00267077">
        <w:rPr>
          <w:rFonts w:cs="Arial"/>
          <w:bCs/>
        </w:rPr>
        <w:t>Partially (not appendices)</w:t>
      </w:r>
    </w:p>
    <w:p w14:paraId="7F1309BE" w14:textId="77777777" w:rsidR="001A020E" w:rsidRPr="00FE5D48" w:rsidRDefault="001A020E" w:rsidP="001A020E">
      <w:pPr>
        <w:pStyle w:val="Heading2"/>
        <w:rPr>
          <w:rFonts w:eastAsia="Calibri"/>
          <w:lang w:eastAsia="en-GB"/>
        </w:rPr>
      </w:pPr>
      <w:r w:rsidRPr="009A56C9">
        <w:rPr>
          <w:rFonts w:eastAsia="Calibri"/>
          <w:lang w:eastAsia="en-GB"/>
        </w:rPr>
        <w:t>Authorised Professional Practice (APP)</w:t>
      </w:r>
    </w:p>
    <w:p w14:paraId="1739815E" w14:textId="319E9135" w:rsidR="00267077" w:rsidRPr="00267077" w:rsidRDefault="00267077" w:rsidP="003D2942">
      <w:pPr>
        <w:rPr>
          <w:rFonts w:eastAsia="Calibri" w:cs="Times New Roman"/>
          <w:lang w:eastAsia="en-GB"/>
        </w:rPr>
      </w:pPr>
      <w:r w:rsidRPr="00E33B48">
        <w:rPr>
          <w:rFonts w:eastAsia="Calibri" w:cs="Times New Roman"/>
          <w:lang w:eastAsia="en-GB"/>
        </w:rPr>
        <w:t>Th</w:t>
      </w:r>
      <w:r>
        <w:rPr>
          <w:rFonts w:eastAsia="Calibri" w:cs="Times New Roman"/>
          <w:lang w:eastAsia="en-GB"/>
        </w:rPr>
        <w:t>is policy should be read in conjunction with Authorised Professional Practice (</w:t>
      </w:r>
      <w:r w:rsidRPr="00E33B48">
        <w:rPr>
          <w:rFonts w:eastAsia="Calibri" w:cs="Times New Roman"/>
          <w:lang w:eastAsia="en-GB"/>
        </w:rPr>
        <w:t>APP</w:t>
      </w:r>
      <w:r>
        <w:rPr>
          <w:rFonts w:eastAsia="Calibri" w:cs="Times New Roman"/>
          <w:lang w:eastAsia="en-GB"/>
        </w:rPr>
        <w:t>) on</w:t>
      </w:r>
      <w:r w:rsidRPr="00E33B48">
        <w:rPr>
          <w:rFonts w:eastAsia="Calibri" w:cs="Times New Roman"/>
          <w:lang w:eastAsia="en-GB"/>
        </w:rPr>
        <w:t xml:space="preserve"> Rape and Sexual Offences (</w:t>
      </w:r>
      <w:hyperlink r:id="rId15" w:history="1">
        <w:r w:rsidRPr="00E33B48">
          <w:rPr>
            <w:rStyle w:val="Hyperlink"/>
            <w:rFonts w:eastAsia="Calibri" w:cs="Times New Roman"/>
            <w:lang w:eastAsia="en-GB"/>
          </w:rPr>
          <w:t>https://www.app.college.police.uk/app-content/major-investigation-and-public-protection/rape-and-sexual-offences/</w:t>
        </w:r>
      </w:hyperlink>
      <w:r w:rsidRPr="00E33B48">
        <w:rPr>
          <w:rFonts w:eastAsia="Calibri" w:cs="Times New Roman"/>
          <w:lang w:eastAsia="en-GB"/>
        </w:rPr>
        <w:t>)</w:t>
      </w:r>
      <w:r>
        <w:rPr>
          <w:rFonts w:eastAsia="Calibri" w:cs="Times New Roman"/>
          <w:lang w:eastAsia="en-GB"/>
        </w:rPr>
        <w:t>, ACPO investigative principles</w:t>
      </w:r>
      <w:r w:rsidRPr="00E33B48">
        <w:rPr>
          <w:rFonts w:eastAsia="Calibri" w:cs="Times New Roman"/>
          <w:lang w:eastAsia="en-GB"/>
        </w:rPr>
        <w:t xml:space="preserve"> </w:t>
      </w:r>
      <w:hyperlink r:id="rId16" w:tgtFrame="_blank" w:history="1">
        <w:r w:rsidRPr="00E33B48">
          <w:rPr>
            <w:rStyle w:val="Hyperlink"/>
            <w:rFonts w:cs="Arial"/>
            <w:sz w:val="23"/>
            <w:szCs w:val="23"/>
            <w:lang w:val="en-US"/>
          </w:rPr>
          <w:t xml:space="preserve"> (2010) Guidance on Investigating and Prosecuting Rape (Abridged Edition)</w:t>
        </w:r>
      </w:hyperlink>
      <w:r>
        <w:rPr>
          <w:rFonts w:cs="Arial"/>
          <w:color w:val="333333"/>
          <w:sz w:val="23"/>
          <w:szCs w:val="23"/>
          <w:lang w:val="en-US"/>
        </w:rPr>
        <w:t xml:space="preserve">, and the Operation </w:t>
      </w:r>
      <w:proofErr w:type="spellStart"/>
      <w:r>
        <w:rPr>
          <w:rFonts w:cs="Arial"/>
          <w:color w:val="333333"/>
          <w:sz w:val="23"/>
          <w:szCs w:val="23"/>
          <w:lang w:val="en-US"/>
        </w:rPr>
        <w:t>Soteria</w:t>
      </w:r>
      <w:proofErr w:type="spellEnd"/>
      <w:r>
        <w:rPr>
          <w:rFonts w:cs="Arial"/>
          <w:color w:val="333333"/>
          <w:sz w:val="23"/>
          <w:szCs w:val="23"/>
          <w:lang w:val="en-US"/>
        </w:rPr>
        <w:t xml:space="preserve"> Protocol and Supervisors guide </w:t>
      </w:r>
      <w:hyperlink r:id="rId17" w:history="1">
        <w:r w:rsidRPr="00A15DE7">
          <w:rPr>
            <w:rStyle w:val="Hyperlink"/>
            <w:rFonts w:cs="Arial"/>
          </w:rPr>
          <w:t xml:space="preserve">Op </w:t>
        </w:r>
        <w:proofErr w:type="spellStart"/>
        <w:r w:rsidRPr="00A15DE7">
          <w:rPr>
            <w:rStyle w:val="Hyperlink"/>
            <w:rFonts w:cs="Arial"/>
          </w:rPr>
          <w:t>Soteria</w:t>
        </w:r>
        <w:proofErr w:type="spellEnd"/>
        <w:r w:rsidRPr="00A15DE7">
          <w:rPr>
            <w:rStyle w:val="Hyperlink"/>
            <w:rFonts w:cs="Arial"/>
          </w:rPr>
          <w:t xml:space="preserve"> - Intranet</w:t>
        </w:r>
      </w:hyperlink>
      <w:r>
        <w:rPr>
          <w:rFonts w:cs="Arial"/>
        </w:rPr>
        <w:t xml:space="preserve"> (Appendix A)</w:t>
      </w:r>
    </w:p>
    <w:p w14:paraId="5F41A6B2" w14:textId="3053D0B4" w:rsidR="001A020E" w:rsidRDefault="001A020E" w:rsidP="0090198B">
      <w:pPr>
        <w:pStyle w:val="Heading2"/>
        <w:tabs>
          <w:tab w:val="left" w:pos="993"/>
        </w:tabs>
        <w:ind w:left="993" w:hanging="993"/>
        <w:rPr>
          <w:lang w:eastAsia="en-GB"/>
        </w:rPr>
      </w:pPr>
      <w:r>
        <w:rPr>
          <w:lang w:eastAsia="en-GB"/>
        </w:rPr>
        <w:t>1.</w:t>
      </w:r>
      <w:r w:rsidR="0090198B">
        <w:rPr>
          <w:lang w:eastAsia="en-GB"/>
        </w:rPr>
        <w:t xml:space="preserve"> </w:t>
      </w:r>
      <w:r w:rsidR="0090198B">
        <w:rPr>
          <w:lang w:eastAsia="en-GB"/>
        </w:rPr>
        <w:tab/>
      </w:r>
      <w:r>
        <w:rPr>
          <w:lang w:eastAsia="en-GB"/>
        </w:rPr>
        <w:t>Policy aims (Purpose)</w:t>
      </w:r>
    </w:p>
    <w:p w14:paraId="1246A7C1" w14:textId="77777777" w:rsidR="00267077" w:rsidRDefault="00267077" w:rsidP="00267077">
      <w:pPr>
        <w:tabs>
          <w:tab w:val="left" w:pos="993"/>
        </w:tabs>
        <w:ind w:left="993" w:hanging="993"/>
        <w:rPr>
          <w:lang w:eastAsia="en-GB"/>
        </w:rPr>
      </w:pPr>
      <w:r>
        <w:rPr>
          <w:lang w:eastAsia="en-GB"/>
        </w:rPr>
        <w:t>1.1.</w:t>
      </w:r>
      <w:r>
        <w:rPr>
          <w:lang w:eastAsia="en-GB"/>
        </w:rPr>
        <w:tab/>
        <w:t>Lincolnshire Police is committed to providing a consistently high level of service to victims of rape and serious sexual assault and to rigorously investigate these crimes and to hold offenders accountable through the criminal justice system.</w:t>
      </w:r>
    </w:p>
    <w:p w14:paraId="3B9E6018" w14:textId="77777777" w:rsidR="00267077" w:rsidRDefault="00267077" w:rsidP="00267077">
      <w:pPr>
        <w:tabs>
          <w:tab w:val="left" w:pos="993"/>
        </w:tabs>
        <w:ind w:left="993" w:hanging="993"/>
        <w:rPr>
          <w:lang w:eastAsia="en-GB"/>
        </w:rPr>
      </w:pPr>
      <w:r>
        <w:rPr>
          <w:lang w:eastAsia="en-GB"/>
        </w:rPr>
        <w:t>1.2.</w:t>
      </w:r>
      <w:r>
        <w:rPr>
          <w:lang w:eastAsia="en-GB"/>
        </w:rPr>
        <w:tab/>
        <w:t>The PVP Rape Policy has been produced to provide a framework and signpost Officers to the correct guidance to allow Lincolnshire Police to achieve these high standards. It is therefore incumbent on all those involved to ensure that every victim is left assured, regardless of the outcome and that everything possible was done to bring the case to a successful conclusion.</w:t>
      </w:r>
    </w:p>
    <w:p w14:paraId="45D94F69" w14:textId="77777777" w:rsidR="00267077" w:rsidRDefault="00267077" w:rsidP="00267077">
      <w:pPr>
        <w:tabs>
          <w:tab w:val="left" w:pos="993"/>
        </w:tabs>
        <w:ind w:left="993" w:hanging="993"/>
        <w:rPr>
          <w:lang w:eastAsia="en-GB"/>
        </w:rPr>
      </w:pPr>
      <w:r>
        <w:rPr>
          <w:lang w:eastAsia="en-GB"/>
        </w:rPr>
        <w:t>1.3</w:t>
      </w:r>
      <w:r>
        <w:rPr>
          <w:lang w:eastAsia="en-GB"/>
        </w:rPr>
        <w:tab/>
        <w:t xml:space="preserve">Lincolnshire Police aim to work cohesively with, and draw on the expertise of, East Midlands Crown Prosecution Service, Spring Lodge Sexual Assault </w:t>
      </w:r>
      <w:r>
        <w:rPr>
          <w:lang w:eastAsia="en-GB"/>
        </w:rPr>
        <w:lastRenderedPageBreak/>
        <w:t>Referral Centre, East Midlands Children and Young People Sexual Assault Service and other partner agencies to deliver an improved service, which will give members of the public the confidence to report such incidents and the strength to support a prosecution. This policy reflects the new Approved Professional Practice ‘Guidance on Investigating and Prosecuting Rape and Serious Sexual Assault’ produced on behalf of NPCC and CPS by the College of Policing</w:t>
      </w:r>
    </w:p>
    <w:p w14:paraId="6801DB48" w14:textId="5E245B6A" w:rsidR="00267077" w:rsidRDefault="00267077" w:rsidP="00267077">
      <w:pPr>
        <w:tabs>
          <w:tab w:val="left" w:pos="993"/>
        </w:tabs>
        <w:ind w:left="993" w:hanging="993"/>
        <w:rPr>
          <w:lang w:eastAsia="en-GB"/>
        </w:rPr>
      </w:pPr>
      <w:r>
        <w:rPr>
          <w:lang w:eastAsia="en-GB"/>
        </w:rPr>
        <w:t>1.</w:t>
      </w:r>
      <w:r w:rsidR="001F0EF3">
        <w:rPr>
          <w:lang w:eastAsia="en-GB"/>
        </w:rPr>
        <w:t>4</w:t>
      </w:r>
      <w:r>
        <w:rPr>
          <w:lang w:eastAsia="en-GB"/>
        </w:rPr>
        <w:t>.</w:t>
      </w:r>
      <w:r>
        <w:rPr>
          <w:lang w:eastAsia="en-GB"/>
        </w:rPr>
        <w:tab/>
        <w:t xml:space="preserve">In June 2023, Lincolnshire Police introduced Operation </w:t>
      </w:r>
      <w:proofErr w:type="spellStart"/>
      <w:r>
        <w:rPr>
          <w:lang w:eastAsia="en-GB"/>
        </w:rPr>
        <w:t>Soteria</w:t>
      </w:r>
      <w:proofErr w:type="spellEnd"/>
      <w:r>
        <w:rPr>
          <w:lang w:eastAsia="en-GB"/>
        </w:rPr>
        <w:t xml:space="preserve"> as part of the national roll-out of an enhanced approach to rape investigations. The details of this can be found at </w:t>
      </w:r>
      <w:hyperlink r:id="rId18" w:history="1">
        <w:r w:rsidRPr="00A15DE7">
          <w:rPr>
            <w:rStyle w:val="Hyperlink"/>
            <w:rFonts w:cs="Arial"/>
          </w:rPr>
          <w:t xml:space="preserve">Op </w:t>
        </w:r>
        <w:proofErr w:type="spellStart"/>
        <w:r w:rsidRPr="00A15DE7">
          <w:rPr>
            <w:rStyle w:val="Hyperlink"/>
            <w:rFonts w:cs="Arial"/>
          </w:rPr>
          <w:t>Soteria</w:t>
        </w:r>
        <w:proofErr w:type="spellEnd"/>
        <w:r w:rsidRPr="00A15DE7">
          <w:rPr>
            <w:rStyle w:val="Hyperlink"/>
            <w:rFonts w:cs="Arial"/>
          </w:rPr>
          <w:t xml:space="preserve"> - Intranet</w:t>
        </w:r>
      </w:hyperlink>
      <w:r>
        <w:rPr>
          <w:rStyle w:val="Hyperlink"/>
          <w:rFonts w:cs="Arial"/>
        </w:rPr>
        <w:t xml:space="preserve"> </w:t>
      </w:r>
      <w:r>
        <w:rPr>
          <w:lang w:eastAsia="en-GB"/>
        </w:rPr>
        <w:t xml:space="preserve">which provides detailed guides about actions to be taken and necessary links. </w:t>
      </w:r>
      <w:proofErr w:type="spellStart"/>
      <w:r>
        <w:rPr>
          <w:lang w:eastAsia="en-GB"/>
        </w:rPr>
        <w:t>Soteria</w:t>
      </w:r>
      <w:proofErr w:type="spellEnd"/>
      <w:r>
        <w:rPr>
          <w:lang w:eastAsia="en-GB"/>
        </w:rPr>
        <w:t xml:space="preserve"> supports this overarching policy and provides specific details about rape and sexual offence investigations.</w:t>
      </w:r>
    </w:p>
    <w:p w14:paraId="0CC1FA21" w14:textId="2FAC6818" w:rsidR="001A020E" w:rsidRDefault="001A020E" w:rsidP="0090198B">
      <w:pPr>
        <w:pStyle w:val="Heading2"/>
        <w:tabs>
          <w:tab w:val="left" w:pos="993"/>
        </w:tabs>
        <w:ind w:left="993" w:hanging="993"/>
        <w:rPr>
          <w:lang w:eastAsia="en-GB"/>
        </w:rPr>
      </w:pPr>
      <w:r>
        <w:rPr>
          <w:lang w:eastAsia="en-GB"/>
        </w:rPr>
        <w:t xml:space="preserve">2. </w:t>
      </w:r>
      <w:r w:rsidR="0051530F">
        <w:rPr>
          <w:lang w:eastAsia="en-GB"/>
        </w:rPr>
        <w:tab/>
      </w:r>
      <w:r>
        <w:rPr>
          <w:lang w:eastAsia="en-GB"/>
        </w:rPr>
        <w:t>Policy statement (Key information)</w:t>
      </w:r>
    </w:p>
    <w:p w14:paraId="2E2FCA8F" w14:textId="77777777" w:rsidR="00267077" w:rsidRDefault="00267077" w:rsidP="00267077">
      <w:pPr>
        <w:tabs>
          <w:tab w:val="left" w:pos="993"/>
        </w:tabs>
        <w:ind w:left="993" w:hanging="993"/>
        <w:rPr>
          <w:lang w:eastAsia="en-GB"/>
        </w:rPr>
      </w:pPr>
      <w:r>
        <w:rPr>
          <w:lang w:eastAsia="en-GB"/>
        </w:rPr>
        <w:t>2.1.</w:t>
      </w:r>
      <w:r>
        <w:rPr>
          <w:lang w:eastAsia="en-GB"/>
        </w:rPr>
        <w:tab/>
        <w:t xml:space="preserve">All staff involved in the investigation of rape and serious sexual assault should refer to the APP guidance. The PVP Rape Policy defines the roles and responsibilities of all parties involved in the conduct and management of rape and serious sexual assault investigations, from first contact to the investigating officers and their supervisors, through to post trial evaluation. </w:t>
      </w:r>
    </w:p>
    <w:p w14:paraId="7A7AA5F7" w14:textId="467C96C7" w:rsidR="00267077" w:rsidRDefault="00267077" w:rsidP="00267077">
      <w:pPr>
        <w:tabs>
          <w:tab w:val="left" w:pos="993"/>
        </w:tabs>
        <w:ind w:left="993" w:hanging="993"/>
        <w:rPr>
          <w:lang w:eastAsia="en-GB"/>
        </w:rPr>
      </w:pPr>
      <w:r>
        <w:rPr>
          <w:lang w:eastAsia="en-GB"/>
        </w:rPr>
        <w:tab/>
        <w:t xml:space="preserve">Officers involved in investigating RASSO should be trained in the appropriate courses (SSAIDP for example) and achieve the necessary accreditation. Where there is not an SSAIDP accredited officer investigating the offence, then it must be a PIP2 Officer or one on the PIP2 pathway overseen by an appropriately trained Detective Sgt and Detective Inspector. </w:t>
      </w:r>
    </w:p>
    <w:p w14:paraId="372CE621" w14:textId="77777777" w:rsidR="00267077" w:rsidRDefault="00267077" w:rsidP="00267077">
      <w:pPr>
        <w:pStyle w:val="Heading3"/>
        <w:tabs>
          <w:tab w:val="left" w:pos="1008"/>
        </w:tabs>
        <w:rPr>
          <w:lang w:eastAsia="en-GB"/>
        </w:rPr>
      </w:pPr>
      <w:r>
        <w:rPr>
          <w:lang w:eastAsia="en-GB"/>
        </w:rPr>
        <w:t>2.2.</w:t>
      </w:r>
      <w:r>
        <w:rPr>
          <w:lang w:eastAsia="en-GB"/>
        </w:rPr>
        <w:tab/>
        <w:t>Offences</w:t>
      </w:r>
    </w:p>
    <w:p w14:paraId="1DD478FD" w14:textId="6B666329" w:rsidR="00267077" w:rsidRDefault="00267077" w:rsidP="00267077">
      <w:pPr>
        <w:tabs>
          <w:tab w:val="left" w:pos="993"/>
        </w:tabs>
        <w:ind w:left="993" w:hanging="993"/>
        <w:rPr>
          <w:lang w:eastAsia="en-GB"/>
        </w:rPr>
      </w:pPr>
      <w:r>
        <w:rPr>
          <w:lang w:eastAsia="en-GB"/>
        </w:rPr>
        <w:t>2.2.1.</w:t>
      </w:r>
      <w:r>
        <w:rPr>
          <w:lang w:eastAsia="en-GB"/>
        </w:rPr>
        <w:tab/>
        <w:t xml:space="preserve">This rape policy covers the offence of Rape – Section 1 Sexual Offences Act 2003 but should also be utilised when investigating other sexual offences including Section 2 (assault by penetration), and Section 3 (sexual </w:t>
      </w:r>
      <w:r>
        <w:rPr>
          <w:lang w:eastAsia="en-GB"/>
        </w:rPr>
        <w:lastRenderedPageBreak/>
        <w:t xml:space="preserve">assault) as well as historic sexual offences that occurred prior to the introduction of the 2003 legislation. </w:t>
      </w:r>
    </w:p>
    <w:p w14:paraId="53AC40CE" w14:textId="77777777" w:rsidR="00267077" w:rsidRDefault="00267077" w:rsidP="00267077">
      <w:pPr>
        <w:tabs>
          <w:tab w:val="left" w:pos="993"/>
        </w:tabs>
        <w:ind w:left="993" w:hanging="993"/>
        <w:rPr>
          <w:lang w:eastAsia="en-GB"/>
        </w:rPr>
      </w:pPr>
      <w:r>
        <w:rPr>
          <w:lang w:eastAsia="en-GB"/>
        </w:rPr>
        <w:t>2.2.2</w:t>
      </w:r>
      <w:r>
        <w:rPr>
          <w:lang w:eastAsia="en-GB"/>
        </w:rPr>
        <w:tab/>
        <w:t>There are different types of Rape offending as follows:</w:t>
      </w:r>
    </w:p>
    <w:p w14:paraId="144CDCBB" w14:textId="0136C8C5" w:rsidR="00267077" w:rsidRDefault="00267077" w:rsidP="00267077">
      <w:pPr>
        <w:pStyle w:val="ListParagraph"/>
        <w:numPr>
          <w:ilvl w:val="0"/>
          <w:numId w:val="19"/>
        </w:numPr>
        <w:tabs>
          <w:tab w:val="left" w:pos="993"/>
        </w:tabs>
        <w:ind w:left="1843"/>
        <w:rPr>
          <w:lang w:eastAsia="en-GB"/>
        </w:rPr>
      </w:pPr>
      <w:r>
        <w:rPr>
          <w:lang w:eastAsia="en-GB"/>
        </w:rPr>
        <w:t xml:space="preserve">Acquaintance Rape </w:t>
      </w:r>
    </w:p>
    <w:p w14:paraId="63BCAAF4" w14:textId="58CE93F7" w:rsidR="00267077" w:rsidRDefault="00267077" w:rsidP="00267077">
      <w:pPr>
        <w:pStyle w:val="ListParagraph"/>
        <w:numPr>
          <w:ilvl w:val="0"/>
          <w:numId w:val="19"/>
        </w:numPr>
        <w:tabs>
          <w:tab w:val="left" w:pos="993"/>
        </w:tabs>
        <w:ind w:left="1843"/>
        <w:rPr>
          <w:lang w:eastAsia="en-GB"/>
        </w:rPr>
      </w:pPr>
      <w:r>
        <w:rPr>
          <w:lang w:eastAsia="en-GB"/>
        </w:rPr>
        <w:t xml:space="preserve">Drug-Assisted Rape </w:t>
      </w:r>
    </w:p>
    <w:p w14:paraId="57F7353F" w14:textId="4E68A3EE" w:rsidR="00267077" w:rsidRDefault="00267077" w:rsidP="00267077">
      <w:pPr>
        <w:pStyle w:val="ListParagraph"/>
        <w:numPr>
          <w:ilvl w:val="0"/>
          <w:numId w:val="19"/>
        </w:numPr>
        <w:tabs>
          <w:tab w:val="left" w:pos="993"/>
        </w:tabs>
        <w:ind w:left="1843"/>
        <w:rPr>
          <w:lang w:eastAsia="en-GB"/>
        </w:rPr>
      </w:pPr>
      <w:r>
        <w:rPr>
          <w:lang w:eastAsia="en-GB"/>
        </w:rPr>
        <w:t xml:space="preserve">Domestic or Relationship Rape </w:t>
      </w:r>
    </w:p>
    <w:p w14:paraId="41C28D39" w14:textId="1F646CE7" w:rsidR="00267077" w:rsidRDefault="00267077" w:rsidP="00267077">
      <w:pPr>
        <w:pStyle w:val="ListParagraph"/>
        <w:numPr>
          <w:ilvl w:val="0"/>
          <w:numId w:val="19"/>
        </w:numPr>
        <w:tabs>
          <w:tab w:val="left" w:pos="993"/>
        </w:tabs>
        <w:ind w:left="1843"/>
        <w:rPr>
          <w:lang w:eastAsia="en-GB"/>
        </w:rPr>
      </w:pPr>
      <w:r>
        <w:rPr>
          <w:lang w:eastAsia="en-GB"/>
        </w:rPr>
        <w:t xml:space="preserve">Stranger Rape </w:t>
      </w:r>
    </w:p>
    <w:p w14:paraId="5FB0ADA7" w14:textId="60851ABD" w:rsidR="00267077" w:rsidRDefault="00267077" w:rsidP="00267077">
      <w:pPr>
        <w:pStyle w:val="ListParagraph"/>
        <w:numPr>
          <w:ilvl w:val="0"/>
          <w:numId w:val="19"/>
        </w:numPr>
        <w:tabs>
          <w:tab w:val="left" w:pos="993"/>
        </w:tabs>
        <w:ind w:left="1843"/>
        <w:rPr>
          <w:lang w:eastAsia="en-GB"/>
        </w:rPr>
      </w:pPr>
      <w:r>
        <w:rPr>
          <w:lang w:eastAsia="en-GB"/>
        </w:rPr>
        <w:t>Multiple Offender Rape.</w:t>
      </w:r>
    </w:p>
    <w:p w14:paraId="40678A4A" w14:textId="0B4D03C6" w:rsidR="00267077" w:rsidRDefault="00267077" w:rsidP="00267077">
      <w:pPr>
        <w:tabs>
          <w:tab w:val="left" w:pos="993"/>
        </w:tabs>
        <w:ind w:left="993" w:hanging="993"/>
        <w:rPr>
          <w:lang w:eastAsia="en-GB"/>
        </w:rPr>
      </w:pPr>
      <w:r>
        <w:rPr>
          <w:lang w:eastAsia="en-GB"/>
        </w:rPr>
        <w:tab/>
        <w:t xml:space="preserve">Some offences may fall into more than one category. These categories change from time to time and are further defined in the APP. It is important to recognise what type of offending the rape comes under to identify the best investigative opportunities. </w:t>
      </w:r>
    </w:p>
    <w:p w14:paraId="5F310AED" w14:textId="77777777" w:rsidR="00267077" w:rsidRDefault="00267077" w:rsidP="00267077">
      <w:pPr>
        <w:pStyle w:val="Heading3"/>
        <w:tabs>
          <w:tab w:val="left" w:pos="1008"/>
        </w:tabs>
        <w:rPr>
          <w:lang w:eastAsia="en-GB"/>
        </w:rPr>
      </w:pPr>
      <w:r>
        <w:rPr>
          <w:lang w:eastAsia="en-GB"/>
        </w:rPr>
        <w:t>2.3</w:t>
      </w:r>
      <w:r>
        <w:rPr>
          <w:lang w:eastAsia="en-GB"/>
        </w:rPr>
        <w:tab/>
        <w:t>Victim Care and Considerations</w:t>
      </w:r>
    </w:p>
    <w:p w14:paraId="777D2253" w14:textId="77777777" w:rsidR="00267077" w:rsidRDefault="00267077" w:rsidP="00267077">
      <w:pPr>
        <w:tabs>
          <w:tab w:val="left" w:pos="993"/>
        </w:tabs>
        <w:ind w:left="993" w:hanging="993"/>
        <w:rPr>
          <w:lang w:eastAsia="en-GB"/>
        </w:rPr>
      </w:pPr>
      <w:r>
        <w:rPr>
          <w:lang w:eastAsia="en-GB"/>
        </w:rPr>
        <w:t>2.3.1</w:t>
      </w:r>
      <w:r>
        <w:rPr>
          <w:lang w:eastAsia="en-GB"/>
        </w:rPr>
        <w:tab/>
        <w:t xml:space="preserve">Vulnerable Victims and Victims in Situations who are particularly vulnerable may be victimised </w:t>
      </w:r>
      <w:proofErr w:type="gramStart"/>
      <w:r>
        <w:rPr>
          <w:lang w:eastAsia="en-GB"/>
        </w:rPr>
        <w:t>a number of</w:t>
      </w:r>
      <w:proofErr w:type="gramEnd"/>
      <w:r>
        <w:rPr>
          <w:lang w:eastAsia="en-GB"/>
        </w:rPr>
        <w:t xml:space="preserve"> times on separate occasions and possibly by different offenders. Officers must take a victim </w:t>
      </w:r>
      <w:proofErr w:type="spellStart"/>
      <w:r>
        <w:rPr>
          <w:lang w:eastAsia="en-GB"/>
        </w:rPr>
        <w:t>centered</w:t>
      </w:r>
      <w:proofErr w:type="spellEnd"/>
      <w:r>
        <w:rPr>
          <w:lang w:eastAsia="en-GB"/>
        </w:rPr>
        <w:t xml:space="preserve"> approach and should not doubt such reports on the basis that the victim has made previous reports - there is evidence that sexual offenders target victims whom they regard as vulnerable.</w:t>
      </w:r>
    </w:p>
    <w:p w14:paraId="169AD080" w14:textId="77777777" w:rsidR="00267077" w:rsidRDefault="00267077" w:rsidP="00267077">
      <w:pPr>
        <w:tabs>
          <w:tab w:val="left" w:pos="993"/>
        </w:tabs>
        <w:ind w:left="993" w:hanging="993"/>
        <w:rPr>
          <w:lang w:eastAsia="en-GB"/>
        </w:rPr>
      </w:pPr>
      <w:r>
        <w:rPr>
          <w:lang w:eastAsia="en-GB"/>
        </w:rPr>
        <w:t>2.3.2</w:t>
      </w:r>
      <w:r>
        <w:rPr>
          <w:lang w:eastAsia="en-GB"/>
        </w:rPr>
        <w:tab/>
        <w:t>If there is a domestic element to the offending, then consideration must be given to referral to Multi Agency Risk Assessment Conference (MARAC) via completion of a Public Protection Notice (PPN).</w:t>
      </w:r>
    </w:p>
    <w:p w14:paraId="4C3D8C33" w14:textId="77777777" w:rsidR="00267077" w:rsidRDefault="00267077" w:rsidP="00267077">
      <w:pPr>
        <w:tabs>
          <w:tab w:val="left" w:pos="993"/>
        </w:tabs>
        <w:ind w:left="993" w:hanging="993"/>
        <w:rPr>
          <w:lang w:eastAsia="en-GB"/>
        </w:rPr>
      </w:pPr>
      <w:r>
        <w:rPr>
          <w:lang w:eastAsia="en-GB"/>
        </w:rPr>
        <w:t>2.3.3</w:t>
      </w:r>
      <w:r>
        <w:rPr>
          <w:lang w:eastAsia="en-GB"/>
        </w:rPr>
        <w:tab/>
        <w:t xml:space="preserve">Officers should have consideration that victims who are from the LGBTQ+ community may require additional support and specialist services should be sought in these occasions. Additional support may be for instance where victims, who are not heterosexual, haven’t revealed this to friends or members of their family. This dilemma is intensified when a victim is raped and faced with the potential need to inform medical staff and the police, thereby creating a fear that it might become public should a case go to court. Transgender individuals nationally fear discrimination and inaction by </w:t>
      </w:r>
      <w:r>
        <w:rPr>
          <w:lang w:eastAsia="en-GB"/>
        </w:rPr>
        <w:lastRenderedPageBreak/>
        <w:t xml:space="preserve">Police, </w:t>
      </w:r>
      <w:proofErr w:type="gramStart"/>
      <w:r>
        <w:rPr>
          <w:lang w:eastAsia="en-GB"/>
        </w:rPr>
        <w:t>and also</w:t>
      </w:r>
      <w:proofErr w:type="gramEnd"/>
      <w:r>
        <w:rPr>
          <w:lang w:eastAsia="en-GB"/>
        </w:rPr>
        <w:t xml:space="preserve"> may have concerns about their case or gender status with regards to confidentiality. It is therefore imperative for officers to respond professionally and provide appropriate reassurance to gain their confidence.</w:t>
      </w:r>
    </w:p>
    <w:p w14:paraId="3F0361E5" w14:textId="77777777" w:rsidR="00267077" w:rsidRDefault="00267077" w:rsidP="00267077">
      <w:pPr>
        <w:pStyle w:val="Heading3"/>
        <w:tabs>
          <w:tab w:val="left" w:pos="1008"/>
        </w:tabs>
        <w:rPr>
          <w:lang w:eastAsia="en-GB"/>
        </w:rPr>
      </w:pPr>
      <w:r>
        <w:rPr>
          <w:lang w:eastAsia="en-GB"/>
        </w:rPr>
        <w:t>2.4.</w:t>
      </w:r>
      <w:r>
        <w:rPr>
          <w:lang w:eastAsia="en-GB"/>
        </w:rPr>
        <w:tab/>
        <w:t>Roles and responsibilities.</w:t>
      </w:r>
    </w:p>
    <w:p w14:paraId="538344D1" w14:textId="7FF656EB" w:rsidR="00267077" w:rsidRDefault="00267077" w:rsidP="00267077">
      <w:pPr>
        <w:tabs>
          <w:tab w:val="left" w:pos="993"/>
        </w:tabs>
        <w:ind w:left="993" w:hanging="993"/>
        <w:rPr>
          <w:lang w:eastAsia="en-GB"/>
        </w:rPr>
      </w:pPr>
      <w:r>
        <w:rPr>
          <w:lang w:eastAsia="en-GB"/>
        </w:rPr>
        <w:t>2.4.1</w:t>
      </w:r>
      <w:r>
        <w:rPr>
          <w:lang w:eastAsia="en-GB"/>
        </w:rPr>
        <w:tab/>
        <w:t>When a rape or serious sexual assault is reported to Lincolnshire Police the allocation policy should be followed to determine the correct OIC. Primarily this will be PVP, but some offences disclosed as part of a secondary offence which are outside of a forensic window may be investigated by other departments including CID who are PIP2 trained.</w:t>
      </w:r>
    </w:p>
    <w:p w14:paraId="6DF3F4BE" w14:textId="77777777" w:rsidR="00267077" w:rsidRDefault="00267077" w:rsidP="00267077">
      <w:pPr>
        <w:tabs>
          <w:tab w:val="left" w:pos="993"/>
        </w:tabs>
        <w:ind w:left="993" w:hanging="993"/>
        <w:rPr>
          <w:lang w:eastAsia="en-GB"/>
        </w:rPr>
      </w:pPr>
      <w:r>
        <w:rPr>
          <w:lang w:eastAsia="en-GB"/>
        </w:rPr>
        <w:t>2.4.2</w:t>
      </w:r>
      <w:r>
        <w:rPr>
          <w:lang w:eastAsia="en-GB"/>
        </w:rPr>
        <w:tab/>
        <w:t xml:space="preserve">Consideration should be given to classifying rape offences, particularly those of a stranger </w:t>
      </w:r>
      <w:proofErr w:type="gramStart"/>
      <w:r>
        <w:rPr>
          <w:lang w:eastAsia="en-GB"/>
        </w:rPr>
        <w:t>and also</w:t>
      </w:r>
      <w:proofErr w:type="gramEnd"/>
      <w:r>
        <w:rPr>
          <w:lang w:eastAsia="en-GB"/>
        </w:rPr>
        <w:t xml:space="preserve"> repeat nature, as critical incidents, and the appropriate policy followed. </w:t>
      </w:r>
    </w:p>
    <w:p w14:paraId="20FABF72" w14:textId="190BF701" w:rsidR="00267077" w:rsidRDefault="00267077" w:rsidP="00267077">
      <w:pPr>
        <w:tabs>
          <w:tab w:val="left" w:pos="993"/>
        </w:tabs>
        <w:ind w:left="993" w:hanging="993"/>
        <w:rPr>
          <w:lang w:eastAsia="en-GB"/>
        </w:rPr>
      </w:pPr>
      <w:r>
        <w:rPr>
          <w:lang w:eastAsia="en-GB"/>
        </w:rPr>
        <w:t>2.4.3.</w:t>
      </w:r>
      <w:r>
        <w:rPr>
          <w:lang w:eastAsia="en-GB"/>
        </w:rPr>
        <w:tab/>
        <w:t xml:space="preserve">Depending on where the report is received, it is the responsibility of the recipient (traditionally the Force Control Room (FCR) or the Town Enquiry Office) to take steps to ensure the immediate safety of the victim, provide reassurance, respond to medical </w:t>
      </w:r>
      <w:proofErr w:type="gramStart"/>
      <w:r>
        <w:rPr>
          <w:lang w:eastAsia="en-GB"/>
        </w:rPr>
        <w:t>needs</w:t>
      </w:r>
      <w:proofErr w:type="gramEnd"/>
      <w:r>
        <w:rPr>
          <w:lang w:eastAsia="en-GB"/>
        </w:rPr>
        <w:t xml:space="preserve"> and protect evidence pending the police first response. Where a complaint is received of Rape or serious sexual offence, an Initial Contact Officer (ICO) or if available, a PVP Hub Investigator will meet with the victim at the very earliest opportunity to assess both the report and the </w:t>
      </w:r>
      <w:proofErr w:type="gramStart"/>
      <w:r>
        <w:rPr>
          <w:lang w:eastAsia="en-GB"/>
        </w:rPr>
        <w:t>victims</w:t>
      </w:r>
      <w:proofErr w:type="gramEnd"/>
      <w:r>
        <w:rPr>
          <w:lang w:eastAsia="en-GB"/>
        </w:rPr>
        <w:t xml:space="preserve"> immediate needs. </w:t>
      </w:r>
    </w:p>
    <w:p w14:paraId="6534BFC4" w14:textId="31F44212" w:rsidR="00267077" w:rsidRDefault="00267077" w:rsidP="00267077">
      <w:pPr>
        <w:tabs>
          <w:tab w:val="left" w:pos="993"/>
        </w:tabs>
        <w:ind w:left="993" w:hanging="993"/>
        <w:rPr>
          <w:lang w:eastAsia="en-GB"/>
        </w:rPr>
      </w:pPr>
      <w:r>
        <w:rPr>
          <w:lang w:eastAsia="en-GB"/>
        </w:rPr>
        <w:t>2.4.4.</w:t>
      </w:r>
      <w:r>
        <w:rPr>
          <w:lang w:eastAsia="en-GB"/>
        </w:rPr>
        <w:tab/>
        <w:t xml:space="preserve">Early police contact is essential and in an empathetic and victim focused way. If urgent medical assistance is required, an ambulance or medical assistance should be called, and there should be an immediate police response. A report of rape or serious sexual offence should receive an ‘immediate response’ from the Force Control Room and an officer should be dispatched. </w:t>
      </w:r>
    </w:p>
    <w:p w14:paraId="2958E05D" w14:textId="51D4136A" w:rsidR="00267077" w:rsidRDefault="00267077" w:rsidP="00267077">
      <w:pPr>
        <w:tabs>
          <w:tab w:val="left" w:pos="993"/>
        </w:tabs>
        <w:ind w:left="993" w:hanging="993"/>
        <w:rPr>
          <w:lang w:eastAsia="en-GB"/>
        </w:rPr>
      </w:pPr>
      <w:r>
        <w:rPr>
          <w:lang w:eastAsia="en-GB"/>
        </w:rPr>
        <w:t>2.4.5.</w:t>
      </w:r>
      <w:r>
        <w:rPr>
          <w:lang w:eastAsia="en-GB"/>
        </w:rPr>
        <w:tab/>
        <w:t xml:space="preserve">When a report is received where the victim is in a safe location, it may be that there is attendance from an Initial Contact Officer (ICO) or PVP Hub Investigator (where possible). Having a PVP officer to attend to establish a first account in the first instance would be the ‘most appropriate response’ </w:t>
      </w:r>
      <w:r>
        <w:rPr>
          <w:lang w:eastAsia="en-GB"/>
        </w:rPr>
        <w:lastRenderedPageBreak/>
        <w:t>but availability should be considered, and it may unduly delay attendance which should be avoided. The FCR should advise the caller that an officer will be attending as soon as possible and provide a realistic timeframe. Once the offence has been established and a first account obtained in the ‘green booklet’ it is important this is updated to the Niche crime management system so the account can be read by supervisory officers and PVP investigators.</w:t>
      </w:r>
    </w:p>
    <w:p w14:paraId="51A41CA9" w14:textId="77777777" w:rsidR="00267077" w:rsidRDefault="00267077" w:rsidP="00267077">
      <w:pPr>
        <w:tabs>
          <w:tab w:val="left" w:pos="993"/>
        </w:tabs>
        <w:ind w:left="993" w:hanging="993"/>
        <w:rPr>
          <w:lang w:eastAsia="en-GB"/>
        </w:rPr>
      </w:pPr>
      <w:r>
        <w:rPr>
          <w:lang w:eastAsia="en-GB"/>
        </w:rPr>
        <w:t>2.4.6.</w:t>
      </w:r>
      <w:r>
        <w:rPr>
          <w:lang w:eastAsia="en-GB"/>
        </w:rPr>
        <w:tab/>
        <w:t xml:space="preserve">It is the responsibility of the Response Sergeant and Inspector to ensure that the principles of Early Evidence Kits and the Golden Hour are adhered to until the investigation has been taken over by a secondary investigator/ PVP. The supervisors should ensure sufficient resources are available in the initial period of the investigation and support the IO and investigator from the PVP Team. </w:t>
      </w:r>
      <w:proofErr w:type="gramStart"/>
      <w:r>
        <w:rPr>
          <w:lang w:eastAsia="en-GB"/>
        </w:rPr>
        <w:t>Particular notice</w:t>
      </w:r>
      <w:proofErr w:type="gramEnd"/>
      <w:r>
        <w:rPr>
          <w:lang w:eastAsia="en-GB"/>
        </w:rPr>
        <w:t xml:space="preserve"> should be taken of preservation of evidence and minimum cross contamination between scenes and parties.</w:t>
      </w:r>
    </w:p>
    <w:p w14:paraId="1FEC672C" w14:textId="77777777" w:rsidR="00267077" w:rsidRDefault="00267077" w:rsidP="00267077">
      <w:pPr>
        <w:tabs>
          <w:tab w:val="left" w:pos="993"/>
        </w:tabs>
        <w:ind w:left="993" w:hanging="993"/>
        <w:rPr>
          <w:lang w:eastAsia="en-GB"/>
        </w:rPr>
      </w:pPr>
      <w:r>
        <w:rPr>
          <w:lang w:eastAsia="en-GB"/>
        </w:rPr>
        <w:t>2.4.7.</w:t>
      </w:r>
      <w:r>
        <w:rPr>
          <w:lang w:eastAsia="en-GB"/>
        </w:rPr>
        <w:tab/>
        <w:t>This should all be done in communication with the Investigating Officer (IO) from the PVP Investigation Team. Contact here is imperative to maintain appropriate victim care and continuity of the investigative approach. Reports of non-recent rape and serious sexual offences must undergo the same assessment of risk upon the initial report, officers are reminded that risk maybe present to other persons and not just the victim, this includes the suspect. Consultation with the relevant PVP investigation hub is advised to ensure a high standard of victim care and continuity of the investigation is maintained.</w:t>
      </w:r>
    </w:p>
    <w:p w14:paraId="4B3ECC6A" w14:textId="77777777" w:rsidR="00267077" w:rsidRDefault="00267077" w:rsidP="00267077">
      <w:pPr>
        <w:tabs>
          <w:tab w:val="left" w:pos="993"/>
        </w:tabs>
        <w:ind w:left="993" w:hanging="993"/>
        <w:rPr>
          <w:lang w:eastAsia="en-GB"/>
        </w:rPr>
      </w:pPr>
      <w:r>
        <w:rPr>
          <w:lang w:eastAsia="en-GB"/>
        </w:rPr>
        <w:t>2.4.8.</w:t>
      </w:r>
      <w:r>
        <w:rPr>
          <w:lang w:eastAsia="en-GB"/>
        </w:rPr>
        <w:tab/>
        <w:t xml:space="preserve">The effective investigation of rape and other serious sexual assaults relies upon teamwork to satisfy the needs of the victim and secure best evidence. Golden Hour principles should be followed, and it is imperative that the victim is at the heart of the investigation. </w:t>
      </w:r>
    </w:p>
    <w:p w14:paraId="34116129" w14:textId="2AE0904C" w:rsidR="00267077" w:rsidRDefault="00267077" w:rsidP="00267077">
      <w:pPr>
        <w:pStyle w:val="Heading3"/>
        <w:tabs>
          <w:tab w:val="left" w:pos="1008"/>
        </w:tabs>
        <w:rPr>
          <w:lang w:eastAsia="en-GB"/>
        </w:rPr>
      </w:pPr>
      <w:r>
        <w:rPr>
          <w:lang w:eastAsia="en-GB"/>
        </w:rPr>
        <w:t>2.5.</w:t>
      </w:r>
      <w:r>
        <w:rPr>
          <w:lang w:eastAsia="en-GB"/>
        </w:rPr>
        <w:tab/>
        <w:t>Recording of offences</w:t>
      </w:r>
    </w:p>
    <w:p w14:paraId="19C93DAF" w14:textId="426E7699" w:rsidR="00267077" w:rsidRDefault="00267077" w:rsidP="00267077">
      <w:pPr>
        <w:tabs>
          <w:tab w:val="left" w:pos="993"/>
        </w:tabs>
        <w:ind w:left="993" w:hanging="993"/>
        <w:rPr>
          <w:lang w:eastAsia="en-GB"/>
        </w:rPr>
      </w:pPr>
      <w:r>
        <w:rPr>
          <w:lang w:eastAsia="en-GB"/>
        </w:rPr>
        <w:t>2.5.1.</w:t>
      </w:r>
      <w:r>
        <w:rPr>
          <w:lang w:eastAsia="en-GB"/>
        </w:rPr>
        <w:tab/>
        <w:t xml:space="preserve">Officers must record the offence of rape in line with National Crime Recording Standards. Lincolnshire Police uses the N100 recording system for rape, and the process of this is detailed in the N100 guidance. </w:t>
      </w:r>
    </w:p>
    <w:p w14:paraId="5850299B" w14:textId="236A8795" w:rsidR="00267077" w:rsidRDefault="00267077" w:rsidP="00267077">
      <w:pPr>
        <w:pStyle w:val="Heading3"/>
        <w:tabs>
          <w:tab w:val="left" w:pos="1008"/>
        </w:tabs>
        <w:rPr>
          <w:lang w:eastAsia="en-GB"/>
        </w:rPr>
      </w:pPr>
      <w:r>
        <w:rPr>
          <w:lang w:eastAsia="en-GB"/>
        </w:rPr>
        <w:lastRenderedPageBreak/>
        <w:t>2.6.</w:t>
      </w:r>
      <w:r>
        <w:rPr>
          <w:lang w:eastAsia="en-GB"/>
        </w:rPr>
        <w:tab/>
        <w:t>CPS, Case Building and Early Consultation</w:t>
      </w:r>
    </w:p>
    <w:p w14:paraId="165900A5" w14:textId="47ECBE38" w:rsidR="00267077" w:rsidRDefault="00267077" w:rsidP="00267077">
      <w:pPr>
        <w:tabs>
          <w:tab w:val="left" w:pos="993"/>
        </w:tabs>
        <w:ind w:left="993" w:hanging="993"/>
        <w:rPr>
          <w:lang w:eastAsia="en-GB"/>
        </w:rPr>
      </w:pPr>
      <w:r>
        <w:rPr>
          <w:lang w:eastAsia="en-GB"/>
        </w:rPr>
        <w:t>2.6.1.</w:t>
      </w:r>
      <w:r>
        <w:rPr>
          <w:lang w:eastAsia="en-GB"/>
        </w:rPr>
        <w:tab/>
        <w:t xml:space="preserve">Police Officers and CPS must work together during the investigative stage to build cases and develop a proactive approach to investigating and prosecuting offences. Officers should consult with CPS using the principles of Early Investigative Advice detailed in the Operation </w:t>
      </w:r>
      <w:proofErr w:type="spellStart"/>
      <w:r>
        <w:rPr>
          <w:lang w:eastAsia="en-GB"/>
        </w:rPr>
        <w:t>Soteria</w:t>
      </w:r>
      <w:proofErr w:type="spellEnd"/>
      <w:r>
        <w:rPr>
          <w:lang w:eastAsia="en-GB"/>
        </w:rPr>
        <w:t xml:space="preserve"> protocol and Appendix B.</w:t>
      </w:r>
    </w:p>
    <w:p w14:paraId="703E8E3D" w14:textId="1BD8F43E" w:rsidR="001A020E" w:rsidRDefault="00267077" w:rsidP="00267077">
      <w:pPr>
        <w:tabs>
          <w:tab w:val="left" w:pos="993"/>
        </w:tabs>
        <w:ind w:left="993" w:hanging="993"/>
        <w:rPr>
          <w:lang w:eastAsia="en-GB"/>
        </w:rPr>
      </w:pPr>
      <w:r>
        <w:rPr>
          <w:lang w:eastAsia="en-GB"/>
        </w:rPr>
        <w:t>2.6.2.</w:t>
      </w:r>
      <w:r>
        <w:rPr>
          <w:lang w:eastAsia="en-GB"/>
        </w:rPr>
        <w:tab/>
        <w:t>Due to the complex and specialist nature of rape and serious sexual assault offences, the PVP case officers will act as the gatekeepers/checkers for cases to ensure the correct submission. It is ultimately the responsibility of the Detective Sergeant overseeing the OIC to ensure all relevant documents are present and sign the certification as per CPS guidance.</w:t>
      </w:r>
    </w:p>
    <w:p w14:paraId="2AE3B8DE" w14:textId="0767CE06" w:rsidR="001A020E" w:rsidRDefault="001A020E" w:rsidP="0090198B">
      <w:pPr>
        <w:pStyle w:val="Heading2"/>
        <w:tabs>
          <w:tab w:val="left" w:pos="993"/>
        </w:tabs>
        <w:ind w:left="993" w:hanging="993"/>
        <w:rPr>
          <w:lang w:eastAsia="en-GB"/>
        </w:rPr>
      </w:pPr>
      <w:r>
        <w:rPr>
          <w:lang w:eastAsia="en-GB"/>
        </w:rPr>
        <w:t xml:space="preserve">3. </w:t>
      </w:r>
      <w:r w:rsidR="0051530F">
        <w:rPr>
          <w:lang w:eastAsia="en-GB"/>
        </w:rPr>
        <w:tab/>
      </w:r>
      <w:r>
        <w:rPr>
          <w:lang w:eastAsia="en-GB"/>
        </w:rPr>
        <w:t>Other related documents and appendices</w:t>
      </w:r>
    </w:p>
    <w:p w14:paraId="7D37D61D" w14:textId="3DFB068E" w:rsidR="001A020E" w:rsidRDefault="001A020E" w:rsidP="0090198B">
      <w:pPr>
        <w:tabs>
          <w:tab w:val="left" w:pos="993"/>
        </w:tabs>
        <w:ind w:left="993" w:hanging="993"/>
        <w:rPr>
          <w:lang w:eastAsia="en-GB"/>
        </w:rPr>
      </w:pPr>
      <w:r>
        <w:rPr>
          <w:lang w:eastAsia="en-GB"/>
        </w:rPr>
        <w:t xml:space="preserve">3.1. </w:t>
      </w:r>
      <w:r w:rsidR="0051530F">
        <w:rPr>
          <w:lang w:eastAsia="en-GB"/>
        </w:rPr>
        <w:tab/>
      </w:r>
      <w:r>
        <w:rPr>
          <w:lang w:eastAsia="en-GB"/>
        </w:rPr>
        <w:t>Please list any relevant documentation here, such as other policies that are linked to this one, guidance documentation and the appendices.</w:t>
      </w:r>
    </w:p>
    <w:p w14:paraId="2418DC8D" w14:textId="6318A917" w:rsidR="00267077" w:rsidRDefault="00267077" w:rsidP="00267077">
      <w:pPr>
        <w:pStyle w:val="ListParagraph"/>
        <w:numPr>
          <w:ilvl w:val="0"/>
          <w:numId w:val="19"/>
        </w:numPr>
        <w:tabs>
          <w:tab w:val="left" w:pos="993"/>
        </w:tabs>
        <w:ind w:left="1843"/>
        <w:rPr>
          <w:lang w:eastAsia="en-GB"/>
        </w:rPr>
      </w:pPr>
      <w:r>
        <w:rPr>
          <w:lang w:eastAsia="en-GB"/>
        </w:rPr>
        <w:t xml:space="preserve">Operation </w:t>
      </w:r>
      <w:proofErr w:type="spellStart"/>
      <w:r>
        <w:rPr>
          <w:lang w:eastAsia="en-GB"/>
        </w:rPr>
        <w:t>Soteria</w:t>
      </w:r>
      <w:proofErr w:type="spellEnd"/>
      <w:r>
        <w:rPr>
          <w:lang w:eastAsia="en-GB"/>
        </w:rPr>
        <w:t xml:space="preserve"> protocol and supervisors guide</w:t>
      </w:r>
    </w:p>
    <w:p w14:paraId="6237598A" w14:textId="76CE0CCC" w:rsidR="00267077" w:rsidRDefault="00267077" w:rsidP="00267077">
      <w:pPr>
        <w:pStyle w:val="ListParagraph"/>
        <w:numPr>
          <w:ilvl w:val="0"/>
          <w:numId w:val="19"/>
        </w:numPr>
        <w:tabs>
          <w:tab w:val="left" w:pos="993"/>
        </w:tabs>
        <w:ind w:left="1843"/>
        <w:rPr>
          <w:lang w:eastAsia="en-GB"/>
        </w:rPr>
      </w:pPr>
      <w:r>
        <w:rPr>
          <w:lang w:eastAsia="en-GB"/>
        </w:rPr>
        <w:t>Appendix B – Early Investigative Advice Standards for RASSO cases</w:t>
      </w:r>
    </w:p>
    <w:p w14:paraId="621E22F3" w14:textId="3457629E" w:rsidR="001A020E" w:rsidRDefault="001A020E" w:rsidP="0090198B">
      <w:pPr>
        <w:pStyle w:val="Heading2"/>
        <w:tabs>
          <w:tab w:val="left" w:pos="993"/>
        </w:tabs>
        <w:ind w:left="993" w:hanging="993"/>
        <w:rPr>
          <w:lang w:eastAsia="en-GB"/>
        </w:rPr>
      </w:pPr>
      <w:r>
        <w:rPr>
          <w:lang w:eastAsia="en-GB"/>
        </w:rPr>
        <w:t xml:space="preserve">4. </w:t>
      </w:r>
      <w:r w:rsidR="0051530F">
        <w:rPr>
          <w:lang w:eastAsia="en-GB"/>
        </w:rPr>
        <w:tab/>
      </w:r>
      <w:r>
        <w:rPr>
          <w:lang w:eastAsia="en-GB"/>
        </w:rPr>
        <w:t>Monitoring and review</w:t>
      </w:r>
    </w:p>
    <w:p w14:paraId="35D41F73" w14:textId="77777777" w:rsidR="00267077" w:rsidRDefault="00267077" w:rsidP="00267077">
      <w:pPr>
        <w:tabs>
          <w:tab w:val="left" w:pos="993"/>
        </w:tabs>
        <w:ind w:left="993" w:hanging="993"/>
        <w:rPr>
          <w:lang w:eastAsia="en-GB"/>
        </w:rPr>
      </w:pPr>
      <w:r>
        <w:rPr>
          <w:lang w:eastAsia="en-GB"/>
        </w:rPr>
        <w:t>4.1.</w:t>
      </w:r>
      <w:r>
        <w:rPr>
          <w:lang w:eastAsia="en-GB"/>
        </w:rPr>
        <w:tab/>
        <w:t>Review amendments will be made to the policy using any good practice from other Forces or changes in legislation prior to the formal review. A formal review will be conducted every two years.</w:t>
      </w:r>
    </w:p>
    <w:p w14:paraId="5F024EB7" w14:textId="25C74F7A" w:rsidR="00267077" w:rsidRDefault="00267077" w:rsidP="00267077">
      <w:pPr>
        <w:tabs>
          <w:tab w:val="left" w:pos="993"/>
        </w:tabs>
        <w:ind w:left="993" w:hanging="993"/>
        <w:rPr>
          <w:lang w:eastAsia="en-GB"/>
        </w:rPr>
      </w:pPr>
      <w:r>
        <w:rPr>
          <w:lang w:eastAsia="en-GB"/>
        </w:rPr>
        <w:t>4.2.</w:t>
      </w:r>
      <w:r>
        <w:rPr>
          <w:lang w:eastAsia="en-GB"/>
        </w:rPr>
        <w:tab/>
        <w:t>The PVP management team is responsible for reviewing the policy.</w:t>
      </w:r>
    </w:p>
    <w:p w14:paraId="751C1C2F" w14:textId="0784B8A2" w:rsidR="001A020E" w:rsidRDefault="001A020E" w:rsidP="0090198B">
      <w:pPr>
        <w:pStyle w:val="Heading2"/>
        <w:tabs>
          <w:tab w:val="left" w:pos="993"/>
        </w:tabs>
        <w:ind w:left="993" w:hanging="993"/>
        <w:rPr>
          <w:lang w:eastAsia="en-GB"/>
        </w:rPr>
      </w:pPr>
      <w:r>
        <w:rPr>
          <w:lang w:eastAsia="en-GB"/>
        </w:rPr>
        <w:lastRenderedPageBreak/>
        <w:t xml:space="preserve">5. </w:t>
      </w:r>
      <w:r w:rsidR="0051530F">
        <w:rPr>
          <w:lang w:eastAsia="en-GB"/>
        </w:rPr>
        <w:tab/>
      </w:r>
      <w:r>
        <w:rPr>
          <w:lang w:eastAsia="en-GB"/>
        </w:rPr>
        <w:t>Who to contact about this policy</w:t>
      </w:r>
    </w:p>
    <w:p w14:paraId="7CDC15D6" w14:textId="70E047FA" w:rsidR="00267077" w:rsidRDefault="00267077" w:rsidP="00267077">
      <w:pPr>
        <w:tabs>
          <w:tab w:val="left" w:pos="993"/>
        </w:tabs>
        <w:ind w:left="993" w:hanging="993"/>
        <w:rPr>
          <w:lang w:eastAsia="en-GB"/>
        </w:rPr>
        <w:sectPr w:rsidR="0026707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sidRPr="00267077">
        <w:rPr>
          <w:lang w:eastAsia="en-GB"/>
        </w:rPr>
        <w:t>5.1.</w:t>
      </w:r>
      <w:r w:rsidRPr="00267077">
        <w:rPr>
          <w:lang w:eastAsia="en-GB"/>
        </w:rPr>
        <w:tab/>
        <w:t xml:space="preserve">This policy is owned by Head of PVP. Any enquires about this policy should be directed to the PVP Detective Chief Inspector, DCI Reid Martin </w:t>
      </w:r>
      <w:hyperlink r:id="rId25" w:history="1">
        <w:r w:rsidRPr="0047445A">
          <w:rPr>
            <w:rStyle w:val="Hyperlink"/>
            <w:lang w:eastAsia="en-GB"/>
          </w:rPr>
          <w:t>reid.martin@lincs.police.uk</w:t>
        </w:r>
      </w:hyperlink>
      <w:r>
        <w:rPr>
          <w:lang w:eastAsia="en-GB"/>
        </w:rPr>
        <w:t xml:space="preserve"> </w:t>
      </w:r>
    </w:p>
    <w:p w14:paraId="223EAFF3" w14:textId="128DA3A3" w:rsidR="00C143E8" w:rsidRDefault="00C143E8" w:rsidP="00BB4BB6">
      <w:pPr>
        <w:pStyle w:val="Heading2"/>
      </w:pPr>
      <w:r>
        <w:lastRenderedPageBreak/>
        <w:t>P</w:t>
      </w:r>
      <w:r w:rsidR="0082369F">
        <w:t>ro-forma for the</w:t>
      </w:r>
      <w:r w:rsidR="0085128C">
        <w:t xml:space="preserve"> equality</w:t>
      </w:r>
      <w:r w:rsidR="0082369F">
        <w:t xml:space="preserve"> initial assessment</w:t>
      </w:r>
    </w:p>
    <w:p w14:paraId="3D03AC1B" w14:textId="44057000" w:rsidR="00C143E8" w:rsidRDefault="00C143E8" w:rsidP="00BB4BB6">
      <w:r>
        <w:t>This screening document is the first stage in a two-stage process to take a systematic approach to assessing the impact of an activity on equality. An activity may mean a:</w:t>
      </w:r>
    </w:p>
    <w:p w14:paraId="50EE6DB6" w14:textId="08D5F4AE" w:rsidR="00C143E8" w:rsidRPr="00C143E8" w:rsidRDefault="00C143E8" w:rsidP="00C143E8">
      <w:pPr>
        <w:pStyle w:val="ListParagraph"/>
        <w:numPr>
          <w:ilvl w:val="0"/>
          <w:numId w:val="16"/>
        </w:numPr>
      </w:pPr>
      <w:r w:rsidRPr="00C143E8">
        <w:t>policy or policy review</w:t>
      </w:r>
    </w:p>
    <w:p w14:paraId="65F3BA27" w14:textId="77777777" w:rsidR="00C143E8" w:rsidRPr="00C143E8" w:rsidRDefault="00C143E8" w:rsidP="00C143E8">
      <w:pPr>
        <w:pStyle w:val="ListParagraph"/>
        <w:numPr>
          <w:ilvl w:val="0"/>
          <w:numId w:val="16"/>
        </w:numPr>
      </w:pPr>
      <w:r w:rsidRPr="00C143E8">
        <w:t xml:space="preserve">a business </w:t>
      </w:r>
      <w:proofErr w:type="gramStart"/>
      <w:r w:rsidRPr="00C143E8">
        <w:t>case</w:t>
      </w:r>
      <w:proofErr w:type="gramEnd"/>
      <w:r w:rsidRPr="00C143E8">
        <w:t xml:space="preserve">  </w:t>
      </w:r>
    </w:p>
    <w:p w14:paraId="52395E9B" w14:textId="77777777" w:rsidR="00C143E8" w:rsidRPr="00C143E8" w:rsidRDefault="00C143E8" w:rsidP="00C143E8">
      <w:pPr>
        <w:pStyle w:val="ListParagraph"/>
        <w:numPr>
          <w:ilvl w:val="0"/>
          <w:numId w:val="16"/>
        </w:numPr>
      </w:pPr>
      <w:r w:rsidRPr="00C143E8">
        <w:t xml:space="preserve">a business </w:t>
      </w:r>
      <w:proofErr w:type="gramStart"/>
      <w:r w:rsidRPr="00C143E8">
        <w:t>plan</w:t>
      </w:r>
      <w:proofErr w:type="gramEnd"/>
      <w:r w:rsidRPr="00C143E8">
        <w:t xml:space="preserve">  </w:t>
      </w:r>
    </w:p>
    <w:p w14:paraId="7DEF447C" w14:textId="77777777" w:rsidR="00C143E8" w:rsidRPr="00C143E8" w:rsidRDefault="00C143E8" w:rsidP="00C143E8">
      <w:pPr>
        <w:pStyle w:val="ListParagraph"/>
        <w:numPr>
          <w:ilvl w:val="0"/>
          <w:numId w:val="16"/>
        </w:numPr>
      </w:pPr>
      <w:r w:rsidRPr="00C143E8">
        <w:t xml:space="preserve">a project initiation </w:t>
      </w:r>
    </w:p>
    <w:p w14:paraId="5F2343A1" w14:textId="77777777" w:rsidR="00C143E8" w:rsidRPr="00C143E8" w:rsidRDefault="00C143E8" w:rsidP="00C143E8">
      <w:pPr>
        <w:pStyle w:val="ListParagraph"/>
        <w:numPr>
          <w:ilvl w:val="0"/>
          <w:numId w:val="16"/>
        </w:numPr>
      </w:pPr>
      <w:r w:rsidRPr="00C143E8">
        <w:t xml:space="preserve">a decision to implement a </w:t>
      </w:r>
      <w:proofErr w:type="gramStart"/>
      <w:r w:rsidRPr="00C143E8">
        <w:t>service</w:t>
      </w:r>
      <w:proofErr w:type="gramEnd"/>
    </w:p>
    <w:p w14:paraId="2DBC4A53" w14:textId="6E07FA2D" w:rsidR="00C143E8" w:rsidRPr="00C143E8" w:rsidRDefault="00C143E8" w:rsidP="00C143E8">
      <w:pPr>
        <w:pStyle w:val="ListParagraph"/>
        <w:numPr>
          <w:ilvl w:val="0"/>
          <w:numId w:val="16"/>
        </w:numPr>
      </w:pPr>
      <w:r w:rsidRPr="00C143E8">
        <w:t xml:space="preserve">a decision to decommission a service. </w:t>
      </w:r>
    </w:p>
    <w:p w14:paraId="2B7C2AA5" w14:textId="77777777" w:rsidR="00C143E8" w:rsidRDefault="00C143E8" w:rsidP="00BB4BB6">
      <w:r>
        <w:t xml:space="preserve">This screening should be completed by the lead person for the activity with assistance from any of the following departments:  </w:t>
      </w:r>
    </w:p>
    <w:p w14:paraId="557CC346" w14:textId="5533558F" w:rsidR="00C143E8" w:rsidRDefault="00C143E8" w:rsidP="00BB4BB6">
      <w:pPr>
        <w:pStyle w:val="ListParagraph"/>
        <w:numPr>
          <w:ilvl w:val="0"/>
          <w:numId w:val="18"/>
        </w:numPr>
      </w:pPr>
      <w:r>
        <w:t>Human Resources (</w:t>
      </w:r>
      <w:r w:rsidR="00EC1851">
        <w:t>w</w:t>
      </w:r>
      <w:r>
        <w:t>here appropriate)</w:t>
      </w:r>
    </w:p>
    <w:p w14:paraId="2E5C2B46" w14:textId="2E1B8803" w:rsidR="00C143E8" w:rsidRDefault="00C143E8" w:rsidP="00BB4BB6">
      <w:pPr>
        <w:pStyle w:val="ListParagraph"/>
        <w:numPr>
          <w:ilvl w:val="0"/>
          <w:numId w:val="18"/>
        </w:numPr>
      </w:pPr>
      <w:r>
        <w:t>Equality and Diversity</w:t>
      </w:r>
    </w:p>
    <w:p w14:paraId="713D9C46" w14:textId="63A12AAE" w:rsidR="00C143E8" w:rsidRDefault="00C143E8" w:rsidP="00C143E8">
      <w:pPr>
        <w:spacing w:after="0" w:line="240" w:lineRule="auto"/>
        <w:rPr>
          <w:rFonts w:cs="Arial"/>
          <w:sz w:val="22"/>
          <w:szCs w:val="22"/>
        </w:rPr>
      </w:pPr>
    </w:p>
    <w:tbl>
      <w:tblPr>
        <w:tblStyle w:val="TableGrid"/>
        <w:tblW w:w="0" w:type="auto"/>
        <w:jc w:val="center"/>
        <w:tblLook w:val="04A0" w:firstRow="1" w:lastRow="0" w:firstColumn="1" w:lastColumn="0" w:noHBand="0" w:noVBand="1"/>
      </w:tblPr>
      <w:tblGrid>
        <w:gridCol w:w="2122"/>
        <w:gridCol w:w="2409"/>
        <w:gridCol w:w="1985"/>
        <w:gridCol w:w="2268"/>
        <w:gridCol w:w="2839"/>
        <w:gridCol w:w="2325"/>
      </w:tblGrid>
      <w:tr w:rsidR="00C143E8" w:rsidRPr="00C143E8" w14:paraId="0C6B18D9" w14:textId="77777777" w:rsidTr="00BB4BB6">
        <w:trPr>
          <w:trHeight w:val="830"/>
          <w:jc w:val="center"/>
        </w:trPr>
        <w:tc>
          <w:tcPr>
            <w:tcW w:w="2122" w:type="dxa"/>
            <w:vAlign w:val="center"/>
          </w:tcPr>
          <w:p w14:paraId="0A6378D4" w14:textId="082AD3B2" w:rsidR="00C143E8" w:rsidRPr="00C143E8" w:rsidRDefault="00C143E8" w:rsidP="00C143E8">
            <w:pPr>
              <w:spacing w:after="0" w:line="240" w:lineRule="auto"/>
              <w:rPr>
                <w:rFonts w:cs="Arial"/>
                <w:b/>
                <w:bCs/>
              </w:rPr>
            </w:pPr>
            <w:r w:rsidRPr="00C143E8">
              <w:rPr>
                <w:rFonts w:cs="Arial"/>
                <w:b/>
                <w:bCs/>
              </w:rPr>
              <w:t>Department</w:t>
            </w:r>
            <w:r>
              <w:rPr>
                <w:rFonts w:cs="Arial"/>
                <w:b/>
                <w:bCs/>
              </w:rPr>
              <w:t>:</w:t>
            </w:r>
          </w:p>
        </w:tc>
        <w:tc>
          <w:tcPr>
            <w:tcW w:w="2409" w:type="dxa"/>
            <w:vAlign w:val="center"/>
          </w:tcPr>
          <w:p w14:paraId="251F204E" w14:textId="3C802162" w:rsidR="00C143E8" w:rsidRPr="00C143E8" w:rsidRDefault="00267077" w:rsidP="00C143E8">
            <w:pPr>
              <w:spacing w:after="0" w:line="240" w:lineRule="auto"/>
              <w:rPr>
                <w:rFonts w:cs="Arial"/>
              </w:rPr>
            </w:pPr>
            <w:r>
              <w:rPr>
                <w:rFonts w:cs="Arial"/>
              </w:rPr>
              <w:t>Crime</w:t>
            </w:r>
          </w:p>
        </w:tc>
        <w:tc>
          <w:tcPr>
            <w:tcW w:w="1985" w:type="dxa"/>
            <w:vAlign w:val="center"/>
          </w:tcPr>
          <w:p w14:paraId="36270829" w14:textId="25BF8DB9" w:rsidR="00C143E8" w:rsidRPr="00C143E8" w:rsidRDefault="00C143E8" w:rsidP="00C143E8">
            <w:pPr>
              <w:spacing w:after="0" w:line="240" w:lineRule="auto"/>
              <w:rPr>
                <w:rFonts w:cs="Arial"/>
              </w:rPr>
            </w:pPr>
            <w:r w:rsidRPr="00C143E8">
              <w:rPr>
                <w:rFonts w:cs="Arial"/>
                <w:b/>
                <w:bCs/>
              </w:rPr>
              <w:t xml:space="preserve">Section:  </w:t>
            </w:r>
          </w:p>
        </w:tc>
        <w:tc>
          <w:tcPr>
            <w:tcW w:w="2268" w:type="dxa"/>
            <w:vAlign w:val="center"/>
          </w:tcPr>
          <w:p w14:paraId="6B1E0CAE" w14:textId="341917AF" w:rsidR="00C143E8" w:rsidRPr="00C143E8" w:rsidRDefault="00267077" w:rsidP="00C143E8">
            <w:pPr>
              <w:spacing w:after="0" w:line="240" w:lineRule="auto"/>
              <w:rPr>
                <w:rFonts w:cs="Arial"/>
              </w:rPr>
            </w:pPr>
            <w:r>
              <w:rPr>
                <w:rFonts w:cs="Arial"/>
              </w:rPr>
              <w:t>PPU</w:t>
            </w:r>
          </w:p>
        </w:tc>
        <w:tc>
          <w:tcPr>
            <w:tcW w:w="2839" w:type="dxa"/>
            <w:vAlign w:val="center"/>
          </w:tcPr>
          <w:p w14:paraId="3496C2C1" w14:textId="4E89264D" w:rsidR="00C143E8" w:rsidRPr="00C143E8" w:rsidRDefault="00C143E8" w:rsidP="00C143E8">
            <w:pPr>
              <w:spacing w:after="0" w:line="240" w:lineRule="auto"/>
              <w:rPr>
                <w:rFonts w:cs="Arial"/>
              </w:rPr>
            </w:pPr>
            <w:r w:rsidRPr="00C143E8">
              <w:rPr>
                <w:rFonts w:cs="Arial"/>
                <w:b/>
                <w:bCs/>
              </w:rPr>
              <w:t>Person responsible for initial assessment:</w:t>
            </w:r>
          </w:p>
        </w:tc>
        <w:tc>
          <w:tcPr>
            <w:tcW w:w="2325" w:type="dxa"/>
            <w:vAlign w:val="center"/>
          </w:tcPr>
          <w:p w14:paraId="1270CCBD" w14:textId="0F5CF60F" w:rsidR="00C143E8" w:rsidRPr="00C143E8" w:rsidRDefault="00267077" w:rsidP="00C143E8">
            <w:pPr>
              <w:spacing w:after="0" w:line="240" w:lineRule="auto"/>
              <w:rPr>
                <w:rFonts w:cs="Arial"/>
              </w:rPr>
            </w:pPr>
            <w:r>
              <w:rPr>
                <w:rFonts w:cs="Arial"/>
              </w:rPr>
              <w:t>DI PPU (PVP)</w:t>
            </w:r>
          </w:p>
        </w:tc>
      </w:tr>
      <w:tr w:rsidR="00C143E8" w:rsidRPr="00C143E8" w14:paraId="0EDDDB16" w14:textId="77777777" w:rsidTr="00C143E8">
        <w:trPr>
          <w:trHeight w:val="1131"/>
          <w:jc w:val="center"/>
        </w:trPr>
        <w:tc>
          <w:tcPr>
            <w:tcW w:w="2122" w:type="dxa"/>
            <w:vAlign w:val="center"/>
          </w:tcPr>
          <w:p w14:paraId="03A4FA6D" w14:textId="1A6D0A8E" w:rsidR="00C143E8" w:rsidRPr="00C143E8" w:rsidRDefault="002668E5" w:rsidP="00C143E8">
            <w:pPr>
              <w:spacing w:after="0" w:line="240" w:lineRule="auto"/>
              <w:rPr>
                <w:rFonts w:cs="Arial"/>
              </w:rPr>
            </w:pPr>
            <w:r>
              <w:rPr>
                <w:rFonts w:cs="Arial"/>
                <w:b/>
                <w:bCs/>
              </w:rPr>
              <w:t>P</w:t>
            </w:r>
            <w:r w:rsidR="00C143E8" w:rsidRPr="00C143E8">
              <w:rPr>
                <w:rFonts w:cs="Arial"/>
                <w:b/>
                <w:bCs/>
              </w:rPr>
              <w:t xml:space="preserve">olicy </w:t>
            </w:r>
            <w:r>
              <w:rPr>
                <w:rFonts w:cs="Arial"/>
                <w:b/>
                <w:bCs/>
              </w:rPr>
              <w:t>being</w:t>
            </w:r>
            <w:r w:rsidR="00C143E8" w:rsidRPr="00C143E8">
              <w:rPr>
                <w:rFonts w:cs="Arial"/>
                <w:b/>
                <w:bCs/>
              </w:rPr>
              <w:t xml:space="preserve"> assessed:</w:t>
            </w:r>
          </w:p>
        </w:tc>
        <w:tc>
          <w:tcPr>
            <w:tcW w:w="2409" w:type="dxa"/>
            <w:vAlign w:val="center"/>
          </w:tcPr>
          <w:p w14:paraId="6B27E6E9" w14:textId="2C06B662" w:rsidR="00C143E8" w:rsidRPr="00C143E8" w:rsidRDefault="00267077" w:rsidP="00C143E8">
            <w:pPr>
              <w:spacing w:after="0" w:line="240" w:lineRule="auto"/>
              <w:rPr>
                <w:rFonts w:cs="Arial"/>
              </w:rPr>
            </w:pPr>
            <w:r w:rsidRPr="00267077">
              <w:rPr>
                <w:rFonts w:cs="Arial"/>
              </w:rPr>
              <w:t>Rape investigation policy PD 176</w:t>
            </w:r>
          </w:p>
        </w:tc>
        <w:tc>
          <w:tcPr>
            <w:tcW w:w="1985" w:type="dxa"/>
            <w:vAlign w:val="center"/>
          </w:tcPr>
          <w:p w14:paraId="74D26523" w14:textId="64CA6BCD" w:rsidR="00C143E8" w:rsidRPr="00C143E8" w:rsidRDefault="00C143E8" w:rsidP="00C143E8">
            <w:pPr>
              <w:spacing w:after="0" w:line="240" w:lineRule="auto"/>
              <w:rPr>
                <w:rFonts w:cs="Arial"/>
              </w:rPr>
            </w:pPr>
            <w:r w:rsidRPr="00C143E8">
              <w:rPr>
                <w:rFonts w:cs="Arial"/>
                <w:b/>
                <w:bCs/>
              </w:rPr>
              <w:t xml:space="preserve">Date of </w:t>
            </w:r>
            <w:r w:rsidR="00EC1851">
              <w:rPr>
                <w:rFonts w:cs="Arial"/>
                <w:b/>
                <w:bCs/>
              </w:rPr>
              <w:t>a</w:t>
            </w:r>
            <w:r w:rsidRPr="00C143E8">
              <w:rPr>
                <w:rFonts w:cs="Arial"/>
                <w:b/>
                <w:bCs/>
              </w:rPr>
              <w:t>ssessment:</w:t>
            </w:r>
          </w:p>
        </w:tc>
        <w:tc>
          <w:tcPr>
            <w:tcW w:w="2268" w:type="dxa"/>
            <w:vAlign w:val="center"/>
          </w:tcPr>
          <w:p w14:paraId="7E9A7508" w14:textId="4DA22ACC" w:rsidR="00C143E8" w:rsidRPr="00C143E8" w:rsidRDefault="00267077" w:rsidP="00C143E8">
            <w:pPr>
              <w:spacing w:after="0" w:line="240" w:lineRule="auto"/>
              <w:rPr>
                <w:rFonts w:cs="Arial"/>
              </w:rPr>
            </w:pPr>
            <w:r>
              <w:rPr>
                <w:rFonts w:cs="Arial"/>
              </w:rPr>
              <w:t>August 2023</w:t>
            </w:r>
          </w:p>
        </w:tc>
        <w:tc>
          <w:tcPr>
            <w:tcW w:w="2839" w:type="dxa"/>
            <w:vAlign w:val="center"/>
          </w:tcPr>
          <w:p w14:paraId="000F3E05" w14:textId="1A536C87" w:rsidR="00C143E8" w:rsidRPr="00C143E8" w:rsidRDefault="00C143E8" w:rsidP="00C143E8">
            <w:pPr>
              <w:spacing w:after="0" w:line="240" w:lineRule="auto"/>
              <w:rPr>
                <w:rFonts w:cs="Arial"/>
              </w:rPr>
            </w:pPr>
            <w:r w:rsidRPr="00C143E8">
              <w:rPr>
                <w:rFonts w:cs="Arial"/>
                <w:b/>
                <w:bCs/>
              </w:rPr>
              <w:t>Is this a new or existing policy?</w:t>
            </w:r>
          </w:p>
        </w:tc>
        <w:tc>
          <w:tcPr>
            <w:tcW w:w="2325" w:type="dxa"/>
            <w:vAlign w:val="center"/>
          </w:tcPr>
          <w:p w14:paraId="467EF084" w14:textId="542927F1" w:rsidR="00C143E8" w:rsidRPr="00C143E8" w:rsidRDefault="00267077" w:rsidP="00C143E8">
            <w:pPr>
              <w:spacing w:after="0" w:line="240" w:lineRule="auto"/>
              <w:rPr>
                <w:rFonts w:cs="Arial"/>
              </w:rPr>
            </w:pPr>
            <w:r>
              <w:rPr>
                <w:rFonts w:cs="Arial"/>
              </w:rPr>
              <w:t>Existing</w:t>
            </w:r>
          </w:p>
        </w:tc>
      </w:tr>
    </w:tbl>
    <w:p w14:paraId="6DD8466C" w14:textId="77777777" w:rsidR="00C143E8" w:rsidRDefault="00C143E8" w:rsidP="00C143E8">
      <w:pPr>
        <w:rPr>
          <w:rFonts w:cs="Arial"/>
          <w:b/>
          <w:bCs/>
          <w:sz w:val="28"/>
        </w:rPr>
      </w:pPr>
    </w:p>
    <w:tbl>
      <w:tblPr>
        <w:tblStyle w:val="TableGrid"/>
        <w:tblW w:w="14029" w:type="dxa"/>
        <w:tblLook w:val="0020" w:firstRow="1" w:lastRow="0" w:firstColumn="0" w:lastColumn="0" w:noHBand="0" w:noVBand="0"/>
        <w:tblCaption w:val="Equality Impact Assessment"/>
        <w:tblDescription w:val="Answers to the EIA questions relating to this policy"/>
      </w:tblPr>
      <w:tblGrid>
        <w:gridCol w:w="5240"/>
        <w:gridCol w:w="8789"/>
      </w:tblGrid>
      <w:tr w:rsidR="00E24C76" w14:paraId="53BFD258" w14:textId="77777777" w:rsidTr="00B720DC">
        <w:trPr>
          <w:trHeight w:val="243"/>
        </w:trPr>
        <w:tc>
          <w:tcPr>
            <w:tcW w:w="5240" w:type="dxa"/>
          </w:tcPr>
          <w:p w14:paraId="0F26CB17" w14:textId="09834363" w:rsidR="00E24C76" w:rsidRPr="00E24C76" w:rsidRDefault="00E24C76" w:rsidP="001F3E93">
            <w:pPr>
              <w:rPr>
                <w:rFonts w:cs="Arial"/>
                <w:b/>
                <w:bCs/>
              </w:rPr>
            </w:pPr>
            <w:r w:rsidRPr="00E24C76">
              <w:rPr>
                <w:rFonts w:cs="Arial"/>
                <w:b/>
                <w:bCs/>
              </w:rPr>
              <w:lastRenderedPageBreak/>
              <w:t>Question</w:t>
            </w:r>
          </w:p>
        </w:tc>
        <w:tc>
          <w:tcPr>
            <w:tcW w:w="8789" w:type="dxa"/>
          </w:tcPr>
          <w:p w14:paraId="5E49E415" w14:textId="79F17472" w:rsidR="00E24C76" w:rsidRPr="00A07A74" w:rsidRDefault="00E24C76" w:rsidP="001F3E93">
            <w:pPr>
              <w:rPr>
                <w:rFonts w:cs="Arial"/>
                <w:b/>
                <w:bCs/>
                <w:color w:val="auto"/>
              </w:rPr>
            </w:pPr>
            <w:r w:rsidRPr="00A07A74">
              <w:rPr>
                <w:rFonts w:cs="Arial"/>
                <w:b/>
                <w:bCs/>
                <w:color w:val="auto"/>
              </w:rPr>
              <w:t>Answer</w:t>
            </w:r>
          </w:p>
        </w:tc>
      </w:tr>
      <w:tr w:rsidR="00267077" w14:paraId="6D36C3A5" w14:textId="77777777" w:rsidTr="00B720DC">
        <w:trPr>
          <w:trHeight w:val="830"/>
        </w:trPr>
        <w:tc>
          <w:tcPr>
            <w:tcW w:w="5240" w:type="dxa"/>
          </w:tcPr>
          <w:p w14:paraId="4F3F354A" w14:textId="77777777" w:rsidR="00267077" w:rsidRDefault="00267077" w:rsidP="00267077">
            <w:pPr>
              <w:rPr>
                <w:rFonts w:cs="Arial"/>
              </w:rPr>
            </w:pPr>
            <w:r>
              <w:rPr>
                <w:rFonts w:cs="Arial"/>
              </w:rPr>
              <w:t xml:space="preserve">1. Briefly describe the aims, </w:t>
            </w:r>
            <w:proofErr w:type="gramStart"/>
            <w:r>
              <w:rPr>
                <w:rFonts w:cs="Arial"/>
              </w:rPr>
              <w:t>objectives</w:t>
            </w:r>
            <w:proofErr w:type="gramEnd"/>
            <w:r>
              <w:rPr>
                <w:rFonts w:cs="Arial"/>
              </w:rPr>
              <w:t xml:space="preserve"> and purpose of the policy.</w:t>
            </w:r>
          </w:p>
        </w:tc>
        <w:tc>
          <w:tcPr>
            <w:tcW w:w="8789" w:type="dxa"/>
          </w:tcPr>
          <w:p w14:paraId="46EC2AE7" w14:textId="2DBD1C67" w:rsidR="00267077" w:rsidRPr="00A07A74" w:rsidRDefault="00267077" w:rsidP="00267077">
            <w:pPr>
              <w:rPr>
                <w:color w:val="auto"/>
              </w:rPr>
            </w:pPr>
            <w:r w:rsidRPr="00927DA0">
              <w:rPr>
                <w:lang w:eastAsia="en-GB"/>
              </w:rPr>
              <w:t>To provide a framework for Lincolnshire officers to achieve the highest standards of investigation, victim care and child safeguarding.</w:t>
            </w:r>
          </w:p>
        </w:tc>
      </w:tr>
      <w:tr w:rsidR="00267077" w14:paraId="5F7AE491" w14:textId="77777777" w:rsidTr="00B720DC">
        <w:trPr>
          <w:trHeight w:val="984"/>
        </w:trPr>
        <w:tc>
          <w:tcPr>
            <w:tcW w:w="5240" w:type="dxa"/>
          </w:tcPr>
          <w:p w14:paraId="68FC8813" w14:textId="44968C5C" w:rsidR="00267077" w:rsidRDefault="00267077" w:rsidP="00267077">
            <w:pPr>
              <w:rPr>
                <w:rFonts w:cs="Arial"/>
              </w:rPr>
            </w:pPr>
            <w:r>
              <w:rPr>
                <w:rFonts w:cs="Arial"/>
              </w:rPr>
              <w:t>2. Are there any associated objectives of the policy? Please explain.</w:t>
            </w:r>
          </w:p>
        </w:tc>
        <w:tc>
          <w:tcPr>
            <w:tcW w:w="8789" w:type="dxa"/>
          </w:tcPr>
          <w:p w14:paraId="1FA386E6" w14:textId="4AF76958" w:rsidR="00267077" w:rsidRPr="00A07A74" w:rsidRDefault="00267077" w:rsidP="00267077">
            <w:pPr>
              <w:rPr>
                <w:color w:val="auto"/>
              </w:rPr>
            </w:pPr>
            <w:r w:rsidRPr="00927DA0">
              <w:rPr>
                <w:lang w:eastAsia="en-GB"/>
              </w:rPr>
              <w:t xml:space="preserve">Policy introduces new investigative practices, partnership working, recording standards and risk assessments and dictates a requirement to monitor case files to ensure the policy is adhered to and the standard of investigation is consistently achieved. </w:t>
            </w:r>
          </w:p>
        </w:tc>
      </w:tr>
      <w:tr w:rsidR="00267077" w14:paraId="6AA1F7FB" w14:textId="77777777" w:rsidTr="00B720DC">
        <w:trPr>
          <w:trHeight w:val="980"/>
        </w:trPr>
        <w:tc>
          <w:tcPr>
            <w:tcW w:w="5240" w:type="dxa"/>
          </w:tcPr>
          <w:p w14:paraId="089F85AA" w14:textId="5E938D0C" w:rsidR="00267077" w:rsidRDefault="00267077" w:rsidP="00267077">
            <w:pPr>
              <w:rPr>
                <w:rFonts w:cs="Arial"/>
              </w:rPr>
            </w:pPr>
            <w:r>
              <w:rPr>
                <w:rFonts w:cs="Arial"/>
              </w:rPr>
              <w:t>3. Who is intended to benefit from the policy and in what way?</w:t>
            </w:r>
          </w:p>
        </w:tc>
        <w:tc>
          <w:tcPr>
            <w:tcW w:w="8789" w:type="dxa"/>
          </w:tcPr>
          <w:p w14:paraId="10912B37" w14:textId="77777777" w:rsidR="00267077" w:rsidRPr="00927DA0" w:rsidRDefault="00267077" w:rsidP="00267077">
            <w:pPr>
              <w:rPr>
                <w:color w:val="auto"/>
              </w:rPr>
            </w:pPr>
            <w:r w:rsidRPr="00927DA0">
              <w:rPr>
                <w:color w:val="auto"/>
              </w:rPr>
              <w:t>Service users? Officers? Police Authority? Partner?</w:t>
            </w:r>
          </w:p>
          <w:p w14:paraId="6AD78F51" w14:textId="2C339315" w:rsidR="00267077" w:rsidRPr="00A07A74" w:rsidRDefault="00267077" w:rsidP="00267077">
            <w:pPr>
              <w:rPr>
                <w:color w:val="auto"/>
              </w:rPr>
            </w:pPr>
            <w:r w:rsidRPr="00927DA0">
              <w:rPr>
                <w:color w:val="auto"/>
              </w:rPr>
              <w:t>It reinforces the commitment of Lincolnshire Police to providing victims of rape and serious sexual assault a level of service that gives them the confidence to report these crimes. It provides a pathway to achieving consistently high levels of investigation across the force</w:t>
            </w:r>
          </w:p>
        </w:tc>
      </w:tr>
      <w:tr w:rsidR="00267077" w14:paraId="57592598" w14:textId="77777777" w:rsidTr="00B720DC">
        <w:trPr>
          <w:trHeight w:val="648"/>
        </w:trPr>
        <w:tc>
          <w:tcPr>
            <w:tcW w:w="5240" w:type="dxa"/>
          </w:tcPr>
          <w:p w14:paraId="62B34534" w14:textId="5D96E737" w:rsidR="00267077" w:rsidRDefault="00267077" w:rsidP="00267077">
            <w:pPr>
              <w:rPr>
                <w:rFonts w:cs="Arial"/>
              </w:rPr>
            </w:pPr>
            <w:r>
              <w:rPr>
                <w:rFonts w:cs="Arial"/>
              </w:rPr>
              <w:t>4. What outcomes are wanted from this policy?</w:t>
            </w:r>
          </w:p>
        </w:tc>
        <w:tc>
          <w:tcPr>
            <w:tcW w:w="8789" w:type="dxa"/>
          </w:tcPr>
          <w:p w14:paraId="519E45A6" w14:textId="77777777" w:rsidR="00267077" w:rsidRPr="00927DA0" w:rsidRDefault="00267077" w:rsidP="00267077">
            <w:r w:rsidRPr="00927DA0">
              <w:t>Improved services? Improved access? Legal requirement?</w:t>
            </w:r>
          </w:p>
          <w:p w14:paraId="1272C0BF" w14:textId="3FE2D3E9" w:rsidR="00267077" w:rsidRPr="00A07A74" w:rsidRDefault="00267077" w:rsidP="00267077">
            <w:pPr>
              <w:rPr>
                <w:color w:val="auto"/>
                <w:szCs w:val="22"/>
              </w:rPr>
            </w:pPr>
            <w:r w:rsidRPr="00927DA0">
              <w:t xml:space="preserve">All operational staff are aware of the </w:t>
            </w:r>
            <w:r>
              <w:t>PVP</w:t>
            </w:r>
            <w:r w:rsidRPr="00927DA0">
              <w:t xml:space="preserve"> team and their role and responsibilities in dealing with serious sexual assaults.</w:t>
            </w:r>
          </w:p>
        </w:tc>
      </w:tr>
      <w:tr w:rsidR="00267077" w14:paraId="4254949C" w14:textId="77777777" w:rsidTr="00B720DC">
        <w:trPr>
          <w:trHeight w:val="705"/>
        </w:trPr>
        <w:tc>
          <w:tcPr>
            <w:tcW w:w="5240" w:type="dxa"/>
          </w:tcPr>
          <w:p w14:paraId="120419A1" w14:textId="01310B5E" w:rsidR="00267077" w:rsidRDefault="00267077" w:rsidP="00267077">
            <w:pPr>
              <w:rPr>
                <w:rFonts w:cs="Arial"/>
              </w:rPr>
            </w:pPr>
            <w:r>
              <w:rPr>
                <w:rFonts w:cs="Arial"/>
              </w:rPr>
              <w:t>5. What factors/forces could contribute/detract from the outcomes?</w:t>
            </w:r>
          </w:p>
        </w:tc>
        <w:tc>
          <w:tcPr>
            <w:tcW w:w="8789" w:type="dxa"/>
          </w:tcPr>
          <w:p w14:paraId="1EA9C322" w14:textId="3AABD06C" w:rsidR="00267077" w:rsidRPr="00927DA0" w:rsidRDefault="00267077" w:rsidP="00267077">
            <w:r w:rsidRPr="00927DA0">
              <w:t>Adverse publicity? Doesn’t save money?</w:t>
            </w:r>
          </w:p>
          <w:p w14:paraId="71AFC332" w14:textId="77777777" w:rsidR="00267077" w:rsidRPr="00927DA0" w:rsidRDefault="00267077" w:rsidP="00267077">
            <w:r w:rsidRPr="00927DA0">
              <w:t>Officer and police s</w:t>
            </w:r>
            <w:r>
              <w:t>taff not adhering to the policy</w:t>
            </w:r>
            <w:r w:rsidRPr="00927DA0">
              <w:t>.</w:t>
            </w:r>
          </w:p>
          <w:p w14:paraId="7EE038D1" w14:textId="77777777" w:rsidR="00267077" w:rsidRPr="00927DA0" w:rsidRDefault="00267077" w:rsidP="00267077"/>
          <w:p w14:paraId="4257EE0F" w14:textId="38C7312E" w:rsidR="00267077" w:rsidRPr="00A07A74" w:rsidRDefault="00267077" w:rsidP="00267077">
            <w:pPr>
              <w:rPr>
                <w:color w:val="auto"/>
                <w:szCs w:val="22"/>
              </w:rPr>
            </w:pPr>
          </w:p>
        </w:tc>
      </w:tr>
      <w:tr w:rsidR="00267077" w14:paraId="21DFCB50" w14:textId="77777777" w:rsidTr="00B720DC">
        <w:trPr>
          <w:trHeight w:val="892"/>
        </w:trPr>
        <w:tc>
          <w:tcPr>
            <w:tcW w:w="5240" w:type="dxa"/>
          </w:tcPr>
          <w:p w14:paraId="47C00E36" w14:textId="518DB538" w:rsidR="00267077" w:rsidRDefault="00267077" w:rsidP="00267077">
            <w:pPr>
              <w:rPr>
                <w:rFonts w:cs="Arial"/>
              </w:rPr>
            </w:pPr>
            <w:r>
              <w:rPr>
                <w:rFonts w:cs="Arial"/>
              </w:rPr>
              <w:lastRenderedPageBreak/>
              <w:t>6. Who are the main stakeholders in relation to the Policy?</w:t>
            </w:r>
          </w:p>
        </w:tc>
        <w:tc>
          <w:tcPr>
            <w:tcW w:w="8789" w:type="dxa"/>
          </w:tcPr>
          <w:p w14:paraId="2DEE1671" w14:textId="7AF09A3D" w:rsidR="00267077" w:rsidRPr="00A07A74" w:rsidRDefault="00267077" w:rsidP="00267077">
            <w:pPr>
              <w:rPr>
                <w:color w:val="auto"/>
              </w:rPr>
            </w:pPr>
            <w:r w:rsidRPr="00927DA0">
              <w:t>Police service users, police officers/staff –partner agencies</w:t>
            </w:r>
          </w:p>
        </w:tc>
      </w:tr>
      <w:tr w:rsidR="00267077" w14:paraId="3370BA04" w14:textId="77777777" w:rsidTr="00B720DC">
        <w:trPr>
          <w:trHeight w:val="758"/>
        </w:trPr>
        <w:tc>
          <w:tcPr>
            <w:tcW w:w="5240" w:type="dxa"/>
          </w:tcPr>
          <w:p w14:paraId="218782DF" w14:textId="446DF54B" w:rsidR="00267077" w:rsidRDefault="00267077" w:rsidP="00267077">
            <w:pPr>
              <w:rPr>
                <w:rFonts w:cs="Arial"/>
              </w:rPr>
            </w:pPr>
            <w:r>
              <w:rPr>
                <w:rFonts w:cs="Arial"/>
              </w:rPr>
              <w:t>7. Who implements the policy and who is responsible for the activity?</w:t>
            </w:r>
          </w:p>
        </w:tc>
        <w:tc>
          <w:tcPr>
            <w:tcW w:w="8789" w:type="dxa"/>
          </w:tcPr>
          <w:p w14:paraId="66B47170" w14:textId="7B5A2126" w:rsidR="00267077" w:rsidRPr="00A07A74" w:rsidRDefault="00267077" w:rsidP="00267077">
            <w:pPr>
              <w:rPr>
                <w:color w:val="auto"/>
              </w:rPr>
            </w:pPr>
            <w:r w:rsidRPr="00927DA0">
              <w:t xml:space="preserve">FCR – </w:t>
            </w:r>
            <w:r>
              <w:t xml:space="preserve">PVP team </w:t>
            </w:r>
            <w:proofErr w:type="gramStart"/>
            <w:r>
              <w:t>members,  district</w:t>
            </w:r>
            <w:proofErr w:type="gramEnd"/>
            <w:r>
              <w:t xml:space="preserve"> operational staff and the FCR.</w:t>
            </w:r>
          </w:p>
        </w:tc>
      </w:tr>
      <w:tr w:rsidR="00267077" w14:paraId="1635A48F" w14:textId="77777777" w:rsidTr="00B720DC">
        <w:trPr>
          <w:trHeight w:val="1116"/>
        </w:trPr>
        <w:tc>
          <w:tcPr>
            <w:tcW w:w="5240" w:type="dxa"/>
          </w:tcPr>
          <w:p w14:paraId="069D0D9D" w14:textId="49681C48" w:rsidR="00267077" w:rsidRDefault="00267077" w:rsidP="00267077">
            <w:pPr>
              <w:rPr>
                <w:rFonts w:cs="Arial"/>
              </w:rPr>
            </w:pPr>
            <w:r>
              <w:rPr>
                <w:rFonts w:cs="Arial"/>
              </w:rPr>
              <w:t xml:space="preserve">8. Is there any likelihood the </w:t>
            </w:r>
            <w:r w:rsidRPr="0063295E">
              <w:rPr>
                <w:rFonts w:cs="Arial"/>
              </w:rPr>
              <w:t xml:space="preserve">policy </w:t>
            </w:r>
            <w:r w:rsidRPr="0063295E">
              <w:rPr>
                <w:rFonts w:cs="Arial"/>
                <w:b/>
                <w:bCs/>
              </w:rPr>
              <w:t>could</w:t>
            </w:r>
            <w:r>
              <w:rPr>
                <w:rFonts w:cs="Arial"/>
              </w:rPr>
              <w:t xml:space="preserve"> have a differential impact on racial groups? (Including Gypsies and Travellers)</w:t>
            </w:r>
          </w:p>
        </w:tc>
        <w:tc>
          <w:tcPr>
            <w:tcW w:w="8789" w:type="dxa"/>
          </w:tcPr>
          <w:p w14:paraId="3EF48340" w14:textId="77777777" w:rsidR="00267077" w:rsidRDefault="00267077" w:rsidP="00267077">
            <w:pPr>
              <w:rPr>
                <w:rFonts w:cs="Arial"/>
                <w:b/>
                <w:color w:val="auto"/>
                <w:szCs w:val="22"/>
              </w:rPr>
            </w:pPr>
            <w:r w:rsidRPr="00A07A74">
              <w:rPr>
                <w:rFonts w:cs="Arial"/>
                <w:b/>
                <w:color w:val="auto"/>
                <w:szCs w:val="22"/>
              </w:rPr>
              <w:t>No</w:t>
            </w:r>
          </w:p>
          <w:p w14:paraId="6A4C8FCD" w14:textId="53C1F065" w:rsidR="001F0EF3" w:rsidRPr="001F0EF3" w:rsidRDefault="001F0EF3" w:rsidP="001F0EF3">
            <w:pPr>
              <w:rPr>
                <w:rFonts w:cs="Arial"/>
              </w:rPr>
            </w:pPr>
            <w:r w:rsidRPr="001F0EF3">
              <w:rPr>
                <w:rFonts w:cs="Arial"/>
              </w:rPr>
              <w:t xml:space="preserve">Victims of rape or serious sexual assault may be male or female of any age. Throughout the investigation the individual needs of </w:t>
            </w:r>
            <w:proofErr w:type="gramStart"/>
            <w:r w:rsidRPr="001F0EF3">
              <w:rPr>
                <w:rFonts w:cs="Arial"/>
              </w:rPr>
              <w:t>the each</w:t>
            </w:r>
            <w:proofErr w:type="gramEnd"/>
            <w:r w:rsidRPr="001F0EF3">
              <w:rPr>
                <w:rFonts w:cs="Arial"/>
              </w:rPr>
              <w:t xml:space="preserve"> victim should be addressed with particular sensitivity to their gender, race, age, sexual orientation, transgender, disability, religion or belief. This Policy complies with the Equality Act 2010.</w:t>
            </w:r>
          </w:p>
        </w:tc>
      </w:tr>
      <w:tr w:rsidR="00267077" w14:paraId="159DFAB8" w14:textId="77777777" w:rsidTr="00B720DC">
        <w:trPr>
          <w:trHeight w:val="885"/>
        </w:trPr>
        <w:tc>
          <w:tcPr>
            <w:tcW w:w="5240" w:type="dxa"/>
          </w:tcPr>
          <w:p w14:paraId="22F6C9CF" w14:textId="77777777" w:rsidR="00267077" w:rsidRDefault="00267077" w:rsidP="00267077">
            <w:pPr>
              <w:rPr>
                <w:rFonts w:cs="Arial"/>
              </w:rPr>
            </w:pPr>
            <w:r>
              <w:rPr>
                <w:rFonts w:cs="Arial"/>
              </w:rPr>
              <w:t>What existing evidence (either presumed or otherwise) do you have for this?</w:t>
            </w:r>
          </w:p>
        </w:tc>
        <w:tc>
          <w:tcPr>
            <w:tcW w:w="8789" w:type="dxa"/>
          </w:tcPr>
          <w:p w14:paraId="70A8C517" w14:textId="0DF12E5C" w:rsidR="00267077" w:rsidRPr="00A07A74" w:rsidRDefault="00267077" w:rsidP="00267077">
            <w:pPr>
              <w:rPr>
                <w:rFonts w:cs="Arial"/>
                <w:color w:val="auto"/>
              </w:rPr>
            </w:pPr>
          </w:p>
        </w:tc>
      </w:tr>
      <w:tr w:rsidR="00267077" w14:paraId="30F9AD4E" w14:textId="77777777" w:rsidTr="00B720DC">
        <w:trPr>
          <w:trHeight w:val="952"/>
        </w:trPr>
        <w:tc>
          <w:tcPr>
            <w:tcW w:w="5240" w:type="dxa"/>
          </w:tcPr>
          <w:p w14:paraId="68A825F4" w14:textId="77777777" w:rsidR="00267077" w:rsidRDefault="00267077" w:rsidP="00267077">
            <w:pPr>
              <w:rPr>
                <w:rFonts w:cs="Arial"/>
              </w:rPr>
            </w:pPr>
            <w:r>
              <w:rPr>
                <w:rFonts w:cs="Arial"/>
              </w:rPr>
              <w:t xml:space="preserve">9. Is there any likelihood the policy </w:t>
            </w:r>
            <w:r w:rsidRPr="00EC1851">
              <w:rPr>
                <w:rFonts w:cs="Arial"/>
                <w:b/>
                <w:bCs/>
              </w:rPr>
              <w:t xml:space="preserve">could </w:t>
            </w:r>
            <w:r>
              <w:rPr>
                <w:rFonts w:cs="Arial"/>
              </w:rPr>
              <w:t>have a differential impact due to gender?</w:t>
            </w:r>
          </w:p>
        </w:tc>
        <w:tc>
          <w:tcPr>
            <w:tcW w:w="8789" w:type="dxa"/>
          </w:tcPr>
          <w:p w14:paraId="281B2BAA" w14:textId="2F593FCB" w:rsidR="00267077" w:rsidRPr="00A07A74" w:rsidRDefault="00267077" w:rsidP="00267077">
            <w:pPr>
              <w:rPr>
                <w:b/>
                <w:bCs/>
                <w:color w:val="auto"/>
              </w:rPr>
            </w:pPr>
            <w:r w:rsidRPr="00A07A74">
              <w:rPr>
                <w:b/>
                <w:bCs/>
                <w:color w:val="auto"/>
              </w:rPr>
              <w:t>No</w:t>
            </w:r>
          </w:p>
          <w:p w14:paraId="7C890E62" w14:textId="2AAD122A" w:rsidR="00267077" w:rsidRPr="00A07A74" w:rsidRDefault="001F0EF3" w:rsidP="00267077">
            <w:pPr>
              <w:rPr>
                <w:rFonts w:cs="Arial"/>
                <w:color w:val="auto"/>
              </w:rPr>
            </w:pPr>
            <w:r w:rsidRPr="001F0EF3">
              <w:rPr>
                <w:rFonts w:cs="Arial"/>
                <w:color w:val="auto"/>
              </w:rPr>
              <w:t xml:space="preserve">Victims of rape or serious sexual assault may be male or female of any age. Throughout the investigation the individual needs of </w:t>
            </w:r>
            <w:proofErr w:type="gramStart"/>
            <w:r w:rsidRPr="001F0EF3">
              <w:rPr>
                <w:rFonts w:cs="Arial"/>
                <w:color w:val="auto"/>
              </w:rPr>
              <w:t>the each</w:t>
            </w:r>
            <w:proofErr w:type="gramEnd"/>
            <w:r w:rsidRPr="001F0EF3">
              <w:rPr>
                <w:rFonts w:cs="Arial"/>
                <w:color w:val="auto"/>
              </w:rPr>
              <w:t xml:space="preserve"> victim should be addressed with particular sensitivity to their gender, race, age, sexual orientation, transgender, disability, religion or belief. This Policy complies with the Equality Act 2010.</w:t>
            </w:r>
          </w:p>
        </w:tc>
      </w:tr>
      <w:tr w:rsidR="00267077" w14:paraId="67E69677" w14:textId="77777777" w:rsidTr="00B720DC">
        <w:trPr>
          <w:trHeight w:val="1002"/>
        </w:trPr>
        <w:tc>
          <w:tcPr>
            <w:tcW w:w="5240" w:type="dxa"/>
          </w:tcPr>
          <w:p w14:paraId="757A4BCB" w14:textId="77777777" w:rsidR="00267077" w:rsidRDefault="00267077" w:rsidP="00267077">
            <w:pPr>
              <w:rPr>
                <w:rFonts w:cs="Arial"/>
              </w:rPr>
            </w:pPr>
            <w:r>
              <w:rPr>
                <w:rFonts w:cs="Arial"/>
              </w:rPr>
              <w:lastRenderedPageBreak/>
              <w:t>What existing evidence (either presumed or otherwise) do you have for this?</w:t>
            </w:r>
          </w:p>
        </w:tc>
        <w:tc>
          <w:tcPr>
            <w:tcW w:w="8789" w:type="dxa"/>
          </w:tcPr>
          <w:p w14:paraId="6FBAAF5E" w14:textId="7495774A" w:rsidR="00267077" w:rsidRPr="00A07A74" w:rsidRDefault="00267077" w:rsidP="00267077"/>
        </w:tc>
      </w:tr>
      <w:tr w:rsidR="00267077" w14:paraId="117C885D" w14:textId="77777777" w:rsidTr="00B720DC">
        <w:trPr>
          <w:trHeight w:val="912"/>
        </w:trPr>
        <w:tc>
          <w:tcPr>
            <w:tcW w:w="5240" w:type="dxa"/>
          </w:tcPr>
          <w:p w14:paraId="14275409" w14:textId="3A11CE6C" w:rsidR="00267077" w:rsidRDefault="00267077" w:rsidP="00267077">
            <w:pPr>
              <w:rPr>
                <w:rFonts w:cs="Arial"/>
              </w:rPr>
            </w:pPr>
            <w:r>
              <w:rPr>
                <w:rFonts w:cs="Arial"/>
              </w:rPr>
              <w:t xml:space="preserve">10. Is there any likelihood the policy </w:t>
            </w:r>
            <w:r w:rsidRPr="00EC1851">
              <w:rPr>
                <w:rFonts w:cs="Arial"/>
                <w:b/>
                <w:bCs/>
              </w:rPr>
              <w:t xml:space="preserve">could </w:t>
            </w:r>
            <w:r>
              <w:rPr>
                <w:rFonts w:cs="Arial"/>
              </w:rPr>
              <w:t>have a differential impact on due disability?</w:t>
            </w:r>
          </w:p>
        </w:tc>
        <w:tc>
          <w:tcPr>
            <w:tcW w:w="8789" w:type="dxa"/>
          </w:tcPr>
          <w:p w14:paraId="3025758B" w14:textId="0B025C24" w:rsidR="00267077" w:rsidRPr="00A07A74" w:rsidRDefault="00267077" w:rsidP="00267077">
            <w:pPr>
              <w:rPr>
                <w:b/>
                <w:bCs/>
                <w:color w:val="auto"/>
              </w:rPr>
            </w:pPr>
            <w:r w:rsidRPr="00A07A74">
              <w:rPr>
                <w:b/>
                <w:bCs/>
                <w:color w:val="auto"/>
              </w:rPr>
              <w:t>No</w:t>
            </w:r>
          </w:p>
          <w:p w14:paraId="5DBF5DC0" w14:textId="4BB02F92" w:rsidR="00267077" w:rsidRPr="00A07A74" w:rsidRDefault="001F0EF3" w:rsidP="00267077">
            <w:pPr>
              <w:rPr>
                <w:rFonts w:cs="Arial"/>
                <w:color w:val="auto"/>
              </w:rPr>
            </w:pPr>
            <w:r w:rsidRPr="001F0EF3">
              <w:rPr>
                <w:rFonts w:cs="Arial"/>
                <w:color w:val="auto"/>
              </w:rPr>
              <w:t xml:space="preserve">Victims of rape or serious sexual assault may be male or female of any age. Throughout the investigation the individual needs of </w:t>
            </w:r>
            <w:proofErr w:type="gramStart"/>
            <w:r w:rsidRPr="001F0EF3">
              <w:rPr>
                <w:rFonts w:cs="Arial"/>
                <w:color w:val="auto"/>
              </w:rPr>
              <w:t>the each</w:t>
            </w:r>
            <w:proofErr w:type="gramEnd"/>
            <w:r w:rsidRPr="001F0EF3">
              <w:rPr>
                <w:rFonts w:cs="Arial"/>
                <w:color w:val="auto"/>
              </w:rPr>
              <w:t xml:space="preserve"> victim should be addressed with particular sensitivity to their gender, race, age, sexual orientation, transgender, disability, religion or belief. This Policy complies with the Equality Act 2010.</w:t>
            </w:r>
          </w:p>
        </w:tc>
      </w:tr>
      <w:tr w:rsidR="00267077" w14:paraId="75C2074C" w14:textId="77777777" w:rsidTr="00B720DC">
        <w:trPr>
          <w:trHeight w:val="836"/>
        </w:trPr>
        <w:tc>
          <w:tcPr>
            <w:tcW w:w="5240" w:type="dxa"/>
          </w:tcPr>
          <w:p w14:paraId="718803B1" w14:textId="77777777" w:rsidR="00267077" w:rsidRDefault="00267077" w:rsidP="00267077">
            <w:pPr>
              <w:rPr>
                <w:rFonts w:cs="Arial"/>
              </w:rPr>
            </w:pPr>
            <w:r>
              <w:rPr>
                <w:rFonts w:cs="Arial"/>
              </w:rPr>
              <w:t>What existing evidence (either presumed or otherwise) do you have for this?</w:t>
            </w:r>
          </w:p>
        </w:tc>
        <w:tc>
          <w:tcPr>
            <w:tcW w:w="8789" w:type="dxa"/>
          </w:tcPr>
          <w:p w14:paraId="1E2B149A" w14:textId="63985B6F" w:rsidR="00267077" w:rsidRPr="00A07A74" w:rsidRDefault="00267077" w:rsidP="00267077">
            <w:pPr>
              <w:rPr>
                <w:rFonts w:cs="Arial"/>
                <w:color w:val="auto"/>
              </w:rPr>
            </w:pPr>
          </w:p>
        </w:tc>
      </w:tr>
      <w:tr w:rsidR="00267077" w14:paraId="31CCA1DF" w14:textId="77777777" w:rsidTr="00B720DC">
        <w:trPr>
          <w:trHeight w:val="888"/>
        </w:trPr>
        <w:tc>
          <w:tcPr>
            <w:tcW w:w="5240" w:type="dxa"/>
          </w:tcPr>
          <w:p w14:paraId="2F9EE705" w14:textId="77777777" w:rsidR="00267077" w:rsidRDefault="00267077" w:rsidP="00267077">
            <w:pPr>
              <w:rPr>
                <w:rFonts w:cs="Arial"/>
              </w:rPr>
            </w:pPr>
            <w:r>
              <w:rPr>
                <w:rFonts w:cs="Arial"/>
              </w:rPr>
              <w:t xml:space="preserve">11. Is there any likelihood the policy </w:t>
            </w:r>
            <w:r w:rsidRPr="00EC1851">
              <w:rPr>
                <w:rFonts w:cs="Arial"/>
                <w:b/>
                <w:bCs/>
              </w:rPr>
              <w:t xml:space="preserve">could </w:t>
            </w:r>
            <w:r>
              <w:rPr>
                <w:rFonts w:cs="Arial"/>
              </w:rPr>
              <w:t>have a differential impact on people due to sexual orientation?</w:t>
            </w:r>
          </w:p>
        </w:tc>
        <w:tc>
          <w:tcPr>
            <w:tcW w:w="8789" w:type="dxa"/>
          </w:tcPr>
          <w:p w14:paraId="61FFDF46" w14:textId="4E99211E" w:rsidR="00267077" w:rsidRPr="00A07A74" w:rsidRDefault="00267077" w:rsidP="00267077">
            <w:pPr>
              <w:rPr>
                <w:b/>
                <w:bCs/>
                <w:color w:val="auto"/>
              </w:rPr>
            </w:pPr>
            <w:r w:rsidRPr="00A07A74">
              <w:rPr>
                <w:b/>
                <w:bCs/>
                <w:color w:val="auto"/>
              </w:rPr>
              <w:t>No</w:t>
            </w:r>
          </w:p>
          <w:p w14:paraId="3AFDB319" w14:textId="4D5BF0C7" w:rsidR="00267077" w:rsidRPr="00A07A74" w:rsidRDefault="001F0EF3" w:rsidP="00267077">
            <w:pPr>
              <w:rPr>
                <w:rFonts w:cs="Arial"/>
                <w:color w:val="auto"/>
              </w:rPr>
            </w:pPr>
            <w:r w:rsidRPr="001F0EF3">
              <w:rPr>
                <w:rFonts w:cs="Arial"/>
                <w:color w:val="auto"/>
              </w:rPr>
              <w:t xml:space="preserve">Victims of rape or serious sexual assault may be male or female of any age. Throughout the investigation the individual needs of </w:t>
            </w:r>
            <w:proofErr w:type="gramStart"/>
            <w:r w:rsidRPr="001F0EF3">
              <w:rPr>
                <w:rFonts w:cs="Arial"/>
                <w:color w:val="auto"/>
              </w:rPr>
              <w:t>the each</w:t>
            </w:r>
            <w:proofErr w:type="gramEnd"/>
            <w:r w:rsidRPr="001F0EF3">
              <w:rPr>
                <w:rFonts w:cs="Arial"/>
                <w:color w:val="auto"/>
              </w:rPr>
              <w:t xml:space="preserve"> victim should be addressed with particular sensitivity to their gender, race, age, sexual orientation, transgender, disability, religion or belief. This Policy complies with the Equality Act 2010.</w:t>
            </w:r>
          </w:p>
        </w:tc>
      </w:tr>
      <w:tr w:rsidR="00267077" w14:paraId="6160E07B" w14:textId="77777777" w:rsidTr="00B720DC">
        <w:trPr>
          <w:trHeight w:val="798"/>
        </w:trPr>
        <w:tc>
          <w:tcPr>
            <w:tcW w:w="5240" w:type="dxa"/>
          </w:tcPr>
          <w:p w14:paraId="126AAF0C" w14:textId="77777777" w:rsidR="00267077" w:rsidRDefault="00267077" w:rsidP="00267077">
            <w:pPr>
              <w:rPr>
                <w:rFonts w:cs="Arial"/>
              </w:rPr>
            </w:pPr>
            <w:r>
              <w:rPr>
                <w:rFonts w:cs="Arial"/>
              </w:rPr>
              <w:t>What existing evidence (either presumed or otherwise) do you have for this?</w:t>
            </w:r>
          </w:p>
        </w:tc>
        <w:tc>
          <w:tcPr>
            <w:tcW w:w="8789" w:type="dxa"/>
          </w:tcPr>
          <w:p w14:paraId="21CA1A55" w14:textId="0FB3DEFF" w:rsidR="00267077" w:rsidRPr="00A07A74" w:rsidRDefault="00267077" w:rsidP="00267077">
            <w:pPr>
              <w:rPr>
                <w:rFonts w:cs="Arial"/>
                <w:color w:val="auto"/>
              </w:rPr>
            </w:pPr>
          </w:p>
        </w:tc>
      </w:tr>
      <w:tr w:rsidR="00267077" w14:paraId="0DEDCE32" w14:textId="77777777" w:rsidTr="00B720DC">
        <w:trPr>
          <w:trHeight w:val="838"/>
        </w:trPr>
        <w:tc>
          <w:tcPr>
            <w:tcW w:w="5240" w:type="dxa"/>
          </w:tcPr>
          <w:p w14:paraId="5C90B1F6" w14:textId="77777777" w:rsidR="00267077" w:rsidRDefault="00267077" w:rsidP="00267077">
            <w:pPr>
              <w:rPr>
                <w:rFonts w:cs="Arial"/>
              </w:rPr>
            </w:pPr>
            <w:r>
              <w:rPr>
                <w:rFonts w:cs="Arial"/>
              </w:rPr>
              <w:lastRenderedPageBreak/>
              <w:t xml:space="preserve">12. Is there any likelihood the policy </w:t>
            </w:r>
            <w:r w:rsidRPr="00EC1851">
              <w:rPr>
                <w:rFonts w:cs="Arial"/>
                <w:b/>
                <w:bCs/>
              </w:rPr>
              <w:t xml:space="preserve">could </w:t>
            </w:r>
            <w:r>
              <w:rPr>
                <w:rFonts w:cs="Arial"/>
              </w:rPr>
              <w:t>have a differential impact on people due to their age?</w:t>
            </w:r>
          </w:p>
        </w:tc>
        <w:tc>
          <w:tcPr>
            <w:tcW w:w="8789" w:type="dxa"/>
          </w:tcPr>
          <w:p w14:paraId="7C2F1962" w14:textId="77777777" w:rsidR="00267077" w:rsidRDefault="00267077" w:rsidP="00267077">
            <w:pPr>
              <w:rPr>
                <w:b/>
                <w:bCs/>
                <w:color w:val="auto"/>
              </w:rPr>
            </w:pPr>
            <w:r w:rsidRPr="00A07A74">
              <w:rPr>
                <w:b/>
                <w:bCs/>
                <w:color w:val="auto"/>
              </w:rPr>
              <w:t>No</w:t>
            </w:r>
          </w:p>
          <w:p w14:paraId="573B02F8" w14:textId="43B4B3B3" w:rsidR="001F0EF3" w:rsidRPr="001F0EF3" w:rsidRDefault="001F0EF3" w:rsidP="001F0EF3">
            <w:r w:rsidRPr="001F0EF3">
              <w:t xml:space="preserve">Victims of rape or serious sexual assault may be male or female of any age. Throughout the investigation the individual needs of </w:t>
            </w:r>
            <w:proofErr w:type="gramStart"/>
            <w:r w:rsidRPr="001F0EF3">
              <w:t>the each</w:t>
            </w:r>
            <w:proofErr w:type="gramEnd"/>
            <w:r w:rsidRPr="001F0EF3">
              <w:t xml:space="preserve"> victim should be addressed with particular sensitivity to their gender, race, age, sexual orientation, transgender, disability, religion or belief. This Policy complies with the Equality Act 2010.</w:t>
            </w:r>
          </w:p>
        </w:tc>
      </w:tr>
      <w:tr w:rsidR="00267077" w14:paraId="7ECBED34" w14:textId="77777777" w:rsidTr="00B720DC">
        <w:trPr>
          <w:trHeight w:val="1116"/>
        </w:trPr>
        <w:tc>
          <w:tcPr>
            <w:tcW w:w="5240" w:type="dxa"/>
          </w:tcPr>
          <w:p w14:paraId="770C0F6E" w14:textId="62874B0B" w:rsidR="00267077" w:rsidRDefault="00267077" w:rsidP="00267077">
            <w:pPr>
              <w:rPr>
                <w:rFonts w:cs="Arial"/>
              </w:rPr>
            </w:pPr>
            <w:r>
              <w:rPr>
                <w:rFonts w:cs="Arial"/>
              </w:rPr>
              <w:t xml:space="preserve">12a. Is there any likelihood the policy </w:t>
            </w:r>
            <w:r w:rsidRPr="00EC1851">
              <w:rPr>
                <w:rFonts w:cs="Arial"/>
                <w:b/>
                <w:bCs/>
              </w:rPr>
              <w:t xml:space="preserve">could </w:t>
            </w:r>
            <w:r w:rsidRPr="00EC1851">
              <w:rPr>
                <w:rFonts w:cs="Arial"/>
              </w:rPr>
              <w:t>ha</w:t>
            </w:r>
            <w:r>
              <w:rPr>
                <w:rFonts w:cs="Arial"/>
              </w:rPr>
              <w:t>ve a differential impact on Young People and Children?</w:t>
            </w:r>
          </w:p>
        </w:tc>
        <w:tc>
          <w:tcPr>
            <w:tcW w:w="8789" w:type="dxa"/>
          </w:tcPr>
          <w:p w14:paraId="6EDAABCD" w14:textId="77777777" w:rsidR="00267077" w:rsidRDefault="00267077" w:rsidP="00267077">
            <w:pPr>
              <w:rPr>
                <w:b/>
                <w:bCs/>
                <w:color w:val="auto"/>
              </w:rPr>
            </w:pPr>
            <w:r w:rsidRPr="00A07A74">
              <w:rPr>
                <w:b/>
                <w:bCs/>
                <w:color w:val="auto"/>
              </w:rPr>
              <w:t>No</w:t>
            </w:r>
          </w:p>
          <w:p w14:paraId="2DFDDB1F" w14:textId="5681CCB3" w:rsidR="001F0EF3" w:rsidRPr="001F0EF3" w:rsidRDefault="001F0EF3" w:rsidP="001F0EF3">
            <w:r w:rsidRPr="001F0EF3">
              <w:t>The policy should be read in conjunction with existing guidance in respect of child abuse investigation, domestic abuse and safeguarding vulnerable adults.</w:t>
            </w:r>
          </w:p>
        </w:tc>
      </w:tr>
      <w:tr w:rsidR="00267077" w14:paraId="6AC12909" w14:textId="77777777" w:rsidTr="00B720DC">
        <w:trPr>
          <w:trHeight w:val="885"/>
        </w:trPr>
        <w:tc>
          <w:tcPr>
            <w:tcW w:w="5240" w:type="dxa"/>
          </w:tcPr>
          <w:p w14:paraId="7057E5E3" w14:textId="77777777" w:rsidR="00267077" w:rsidRDefault="00267077" w:rsidP="00267077">
            <w:pPr>
              <w:rPr>
                <w:rFonts w:cs="Arial"/>
              </w:rPr>
            </w:pPr>
            <w:r>
              <w:rPr>
                <w:rFonts w:cs="Arial"/>
              </w:rPr>
              <w:t>What existing evidence (either presumed or otherwise) do you have for this?</w:t>
            </w:r>
          </w:p>
        </w:tc>
        <w:tc>
          <w:tcPr>
            <w:tcW w:w="8789" w:type="dxa"/>
          </w:tcPr>
          <w:p w14:paraId="771B3B5C" w14:textId="77E28C54" w:rsidR="00267077" w:rsidRPr="00A07A74" w:rsidRDefault="00267077" w:rsidP="00267077">
            <w:pPr>
              <w:rPr>
                <w:rFonts w:cs="Arial"/>
                <w:color w:val="auto"/>
              </w:rPr>
            </w:pPr>
          </w:p>
        </w:tc>
      </w:tr>
      <w:tr w:rsidR="00267077" w14:paraId="037F297E" w14:textId="77777777" w:rsidTr="00B720DC">
        <w:trPr>
          <w:trHeight w:val="952"/>
        </w:trPr>
        <w:tc>
          <w:tcPr>
            <w:tcW w:w="5240" w:type="dxa"/>
          </w:tcPr>
          <w:p w14:paraId="0F503EC6" w14:textId="7B56D067" w:rsidR="00267077" w:rsidRDefault="00267077" w:rsidP="00267077">
            <w:pPr>
              <w:rPr>
                <w:rFonts w:cs="Arial"/>
              </w:rPr>
            </w:pPr>
            <w:r>
              <w:rPr>
                <w:rFonts w:cs="Arial"/>
              </w:rPr>
              <w:t xml:space="preserve">12b.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Older People?</w:t>
            </w:r>
          </w:p>
        </w:tc>
        <w:tc>
          <w:tcPr>
            <w:tcW w:w="8789" w:type="dxa"/>
          </w:tcPr>
          <w:p w14:paraId="6FF7A246" w14:textId="77777777" w:rsidR="00267077" w:rsidRDefault="00267077" w:rsidP="00267077">
            <w:pPr>
              <w:rPr>
                <w:b/>
                <w:bCs/>
                <w:color w:val="auto"/>
              </w:rPr>
            </w:pPr>
            <w:r w:rsidRPr="00A07A74">
              <w:rPr>
                <w:b/>
                <w:bCs/>
                <w:color w:val="auto"/>
              </w:rPr>
              <w:t>No</w:t>
            </w:r>
          </w:p>
          <w:p w14:paraId="57C6DFA9" w14:textId="6A3415D3" w:rsidR="00267077" w:rsidRPr="0005489F" w:rsidRDefault="001F0EF3" w:rsidP="00267077">
            <w:pPr>
              <w:rPr>
                <w:color w:val="auto"/>
              </w:rPr>
            </w:pPr>
            <w:r w:rsidRPr="001F0EF3">
              <w:rPr>
                <w:color w:val="auto"/>
              </w:rPr>
              <w:t xml:space="preserve">Victims of rape or serious sexual assault may be male or female of any age. Throughout the investigation the individual needs of </w:t>
            </w:r>
            <w:proofErr w:type="gramStart"/>
            <w:r w:rsidRPr="001F0EF3">
              <w:rPr>
                <w:color w:val="auto"/>
              </w:rPr>
              <w:t>the each</w:t>
            </w:r>
            <w:proofErr w:type="gramEnd"/>
            <w:r w:rsidRPr="001F0EF3">
              <w:rPr>
                <w:color w:val="auto"/>
              </w:rPr>
              <w:t xml:space="preserve"> victim should be addressed with particular sensitivity to their gender, race, age, sexual orientation, transgender, disability, religion or belief. This Policy complies with the Equality Act 2010.</w:t>
            </w:r>
          </w:p>
        </w:tc>
      </w:tr>
      <w:tr w:rsidR="00267077" w14:paraId="2DF7DA86" w14:textId="77777777" w:rsidTr="00B720DC">
        <w:trPr>
          <w:trHeight w:val="1002"/>
        </w:trPr>
        <w:tc>
          <w:tcPr>
            <w:tcW w:w="5240" w:type="dxa"/>
          </w:tcPr>
          <w:p w14:paraId="40678B1C" w14:textId="77777777" w:rsidR="00267077" w:rsidRDefault="00267077" w:rsidP="00267077">
            <w:pPr>
              <w:rPr>
                <w:rFonts w:cs="Arial"/>
              </w:rPr>
            </w:pPr>
            <w:r>
              <w:rPr>
                <w:rFonts w:cs="Arial"/>
              </w:rPr>
              <w:t>What existing evidence (either presumed or otherwise) do you have for this?</w:t>
            </w:r>
          </w:p>
        </w:tc>
        <w:tc>
          <w:tcPr>
            <w:tcW w:w="8789" w:type="dxa"/>
          </w:tcPr>
          <w:p w14:paraId="5F507DD2" w14:textId="5F1467DC" w:rsidR="00267077" w:rsidRPr="00A07A74" w:rsidRDefault="00267077" w:rsidP="00267077">
            <w:pPr>
              <w:rPr>
                <w:rFonts w:cs="Arial"/>
                <w:color w:val="auto"/>
              </w:rPr>
            </w:pPr>
          </w:p>
        </w:tc>
      </w:tr>
      <w:tr w:rsidR="00267077" w14:paraId="433A9A5D" w14:textId="77777777" w:rsidTr="00B720DC">
        <w:trPr>
          <w:trHeight w:val="912"/>
        </w:trPr>
        <w:tc>
          <w:tcPr>
            <w:tcW w:w="5240" w:type="dxa"/>
          </w:tcPr>
          <w:p w14:paraId="18871C7A" w14:textId="77777777" w:rsidR="00267077" w:rsidRDefault="00267077" w:rsidP="00267077">
            <w:pPr>
              <w:rPr>
                <w:rFonts w:cs="Arial"/>
              </w:rPr>
            </w:pPr>
            <w:r>
              <w:rPr>
                <w:rFonts w:cs="Arial"/>
              </w:rPr>
              <w:lastRenderedPageBreak/>
              <w:t xml:space="preserve">13.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people due to their religious belief?</w:t>
            </w:r>
          </w:p>
        </w:tc>
        <w:tc>
          <w:tcPr>
            <w:tcW w:w="8789" w:type="dxa"/>
          </w:tcPr>
          <w:p w14:paraId="1A50D0D6" w14:textId="77777777" w:rsidR="00267077" w:rsidRDefault="00267077" w:rsidP="00267077">
            <w:pPr>
              <w:rPr>
                <w:b/>
                <w:bCs/>
                <w:color w:val="auto"/>
              </w:rPr>
            </w:pPr>
            <w:r w:rsidRPr="00A07A74">
              <w:rPr>
                <w:b/>
                <w:bCs/>
                <w:color w:val="auto"/>
              </w:rPr>
              <w:t>No</w:t>
            </w:r>
          </w:p>
          <w:p w14:paraId="4A4E91C2" w14:textId="09A9F00D" w:rsidR="001F0EF3" w:rsidRPr="001F0EF3" w:rsidRDefault="001F0EF3" w:rsidP="001F0EF3">
            <w:r w:rsidRPr="001F0EF3">
              <w:t xml:space="preserve">Victims of rape or serious sexual assault may be male or female of any age. Throughout the investigation the individual needs of </w:t>
            </w:r>
            <w:proofErr w:type="gramStart"/>
            <w:r w:rsidRPr="001F0EF3">
              <w:t>the each</w:t>
            </w:r>
            <w:proofErr w:type="gramEnd"/>
            <w:r w:rsidRPr="001F0EF3">
              <w:t xml:space="preserve"> victim should be addressed with particular sensitivity to their gender, race, age, sexual orientation, transgender, disability, religion or belief. This Policy complies with the Equality Act 2010.</w:t>
            </w:r>
          </w:p>
        </w:tc>
      </w:tr>
      <w:tr w:rsidR="00267077" w14:paraId="5E46D7FE" w14:textId="77777777" w:rsidTr="00B720DC">
        <w:trPr>
          <w:trHeight w:val="836"/>
        </w:trPr>
        <w:tc>
          <w:tcPr>
            <w:tcW w:w="5240" w:type="dxa"/>
          </w:tcPr>
          <w:p w14:paraId="3A40C84A" w14:textId="77777777" w:rsidR="00267077" w:rsidRDefault="00267077" w:rsidP="00267077">
            <w:pPr>
              <w:rPr>
                <w:rFonts w:cs="Arial"/>
              </w:rPr>
            </w:pPr>
            <w:r>
              <w:rPr>
                <w:rFonts w:cs="Arial"/>
              </w:rPr>
              <w:t>What existing evidence (either presumed or otherwise) do you have for this?</w:t>
            </w:r>
          </w:p>
        </w:tc>
        <w:tc>
          <w:tcPr>
            <w:tcW w:w="8789" w:type="dxa"/>
          </w:tcPr>
          <w:p w14:paraId="4608E505" w14:textId="0D8DCAF1" w:rsidR="00267077" w:rsidRPr="00A07A74" w:rsidRDefault="00267077" w:rsidP="00267077">
            <w:pPr>
              <w:rPr>
                <w:rFonts w:cs="Arial"/>
                <w:color w:val="auto"/>
              </w:rPr>
            </w:pPr>
          </w:p>
        </w:tc>
      </w:tr>
      <w:tr w:rsidR="00267077" w14:paraId="490F3554" w14:textId="77777777" w:rsidTr="00B720DC">
        <w:trPr>
          <w:trHeight w:val="888"/>
        </w:trPr>
        <w:tc>
          <w:tcPr>
            <w:tcW w:w="5240" w:type="dxa"/>
          </w:tcPr>
          <w:p w14:paraId="5ED909AE" w14:textId="3BEA291E" w:rsidR="00267077" w:rsidRDefault="00267077" w:rsidP="00267077">
            <w:pPr>
              <w:rPr>
                <w:rFonts w:cs="Arial"/>
              </w:rPr>
            </w:pPr>
            <w:r>
              <w:rPr>
                <w:rFonts w:cs="Arial"/>
              </w:rPr>
              <w:t xml:space="preserve">14.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people due to them having dependants/caring responsibilities?</w:t>
            </w:r>
          </w:p>
        </w:tc>
        <w:tc>
          <w:tcPr>
            <w:tcW w:w="8789" w:type="dxa"/>
          </w:tcPr>
          <w:p w14:paraId="308DC018" w14:textId="115BE5DB" w:rsidR="00267077" w:rsidRPr="00A07A74" w:rsidRDefault="00267077" w:rsidP="00267077">
            <w:pPr>
              <w:rPr>
                <w:b/>
                <w:bCs/>
                <w:color w:val="auto"/>
              </w:rPr>
            </w:pPr>
            <w:r w:rsidRPr="00A07A74">
              <w:rPr>
                <w:b/>
                <w:bCs/>
                <w:color w:val="auto"/>
              </w:rPr>
              <w:t>No</w:t>
            </w:r>
          </w:p>
        </w:tc>
      </w:tr>
      <w:tr w:rsidR="00267077" w14:paraId="59B33F18" w14:textId="77777777" w:rsidTr="00B720DC">
        <w:trPr>
          <w:trHeight w:val="798"/>
        </w:trPr>
        <w:tc>
          <w:tcPr>
            <w:tcW w:w="5240" w:type="dxa"/>
          </w:tcPr>
          <w:p w14:paraId="677DC4D5" w14:textId="77777777" w:rsidR="00267077" w:rsidRDefault="00267077" w:rsidP="00267077">
            <w:pPr>
              <w:rPr>
                <w:rFonts w:cs="Arial"/>
              </w:rPr>
            </w:pPr>
            <w:r>
              <w:rPr>
                <w:rFonts w:cs="Arial"/>
              </w:rPr>
              <w:t>What existing evidence (either presumed or otherwise) do you have for this?</w:t>
            </w:r>
          </w:p>
        </w:tc>
        <w:tc>
          <w:tcPr>
            <w:tcW w:w="8789" w:type="dxa"/>
          </w:tcPr>
          <w:p w14:paraId="7CDD87E4" w14:textId="7B7D561B" w:rsidR="00267077" w:rsidRPr="00A07A74" w:rsidRDefault="00267077" w:rsidP="00267077">
            <w:pPr>
              <w:rPr>
                <w:rFonts w:cs="Arial"/>
                <w:color w:val="auto"/>
              </w:rPr>
            </w:pPr>
          </w:p>
        </w:tc>
      </w:tr>
      <w:tr w:rsidR="00267077" w14:paraId="438F18A2" w14:textId="77777777" w:rsidTr="00B720DC">
        <w:trPr>
          <w:trHeight w:val="1116"/>
        </w:trPr>
        <w:tc>
          <w:tcPr>
            <w:tcW w:w="5240" w:type="dxa"/>
          </w:tcPr>
          <w:p w14:paraId="4C8872EE" w14:textId="77777777" w:rsidR="00267077" w:rsidRPr="002B3C8E" w:rsidRDefault="00267077" w:rsidP="00267077">
            <w:pPr>
              <w:rPr>
                <w:rFonts w:cs="Arial"/>
              </w:rPr>
            </w:pPr>
            <w:r w:rsidRPr="002B3C8E">
              <w:rPr>
                <w:rFonts w:cs="Arial"/>
              </w:rPr>
              <w:t xml:space="preserve">15. Is there any likelihood </w:t>
            </w:r>
            <w:r>
              <w:rPr>
                <w:rFonts w:cs="Arial"/>
              </w:rPr>
              <w:t>t</w:t>
            </w:r>
            <w:r w:rsidRPr="002B3C8E">
              <w:rPr>
                <w:rFonts w:cs="Arial"/>
              </w:rPr>
              <w:t xml:space="preserve">he </w:t>
            </w:r>
            <w:r w:rsidRPr="00EC1851">
              <w:rPr>
                <w:rFonts w:cs="Arial"/>
              </w:rPr>
              <w:t xml:space="preserve">activity </w:t>
            </w:r>
            <w:r w:rsidRPr="00EC1851">
              <w:rPr>
                <w:rFonts w:cs="Arial"/>
                <w:b/>
                <w:bCs/>
              </w:rPr>
              <w:t>could</w:t>
            </w:r>
            <w:r w:rsidRPr="00EC1851">
              <w:rPr>
                <w:rFonts w:cs="Arial"/>
              </w:rPr>
              <w:t xml:space="preserve"> have</w:t>
            </w:r>
            <w:r w:rsidRPr="002B3C8E">
              <w:rPr>
                <w:rFonts w:cs="Arial"/>
              </w:rPr>
              <w:t xml:space="preserve"> a differential impact on people due to Marriage or Civil partnership?</w:t>
            </w:r>
          </w:p>
        </w:tc>
        <w:tc>
          <w:tcPr>
            <w:tcW w:w="8789" w:type="dxa"/>
          </w:tcPr>
          <w:p w14:paraId="1E0BBE45" w14:textId="44BBF274" w:rsidR="00267077" w:rsidRPr="00A07A74" w:rsidRDefault="00267077" w:rsidP="00267077">
            <w:pPr>
              <w:rPr>
                <w:b/>
                <w:bCs/>
                <w:color w:val="auto"/>
              </w:rPr>
            </w:pPr>
            <w:r w:rsidRPr="00A07A74">
              <w:rPr>
                <w:b/>
                <w:bCs/>
                <w:color w:val="auto"/>
              </w:rPr>
              <w:t>No</w:t>
            </w:r>
          </w:p>
        </w:tc>
      </w:tr>
      <w:tr w:rsidR="00267077" w14:paraId="77A7FC36" w14:textId="77777777" w:rsidTr="00B720DC">
        <w:trPr>
          <w:trHeight w:val="885"/>
        </w:trPr>
        <w:tc>
          <w:tcPr>
            <w:tcW w:w="5240" w:type="dxa"/>
          </w:tcPr>
          <w:p w14:paraId="63B0E833" w14:textId="77777777" w:rsidR="00267077" w:rsidRDefault="00267077" w:rsidP="00267077">
            <w:pPr>
              <w:rPr>
                <w:rFonts w:cs="Arial"/>
              </w:rPr>
            </w:pPr>
            <w:r>
              <w:rPr>
                <w:rFonts w:cs="Arial"/>
              </w:rPr>
              <w:t>What existing evidence (either presumed or otherwise) do you have for this?</w:t>
            </w:r>
          </w:p>
        </w:tc>
        <w:tc>
          <w:tcPr>
            <w:tcW w:w="8789" w:type="dxa"/>
          </w:tcPr>
          <w:p w14:paraId="14C8D535" w14:textId="1A970991" w:rsidR="00267077" w:rsidRPr="00A07A74" w:rsidRDefault="00267077" w:rsidP="00267077">
            <w:pPr>
              <w:rPr>
                <w:rFonts w:cs="Arial"/>
                <w:color w:val="auto"/>
              </w:rPr>
            </w:pPr>
          </w:p>
        </w:tc>
      </w:tr>
      <w:tr w:rsidR="00267077" w14:paraId="569ACCD3" w14:textId="77777777" w:rsidTr="00B720DC">
        <w:trPr>
          <w:trHeight w:val="952"/>
        </w:trPr>
        <w:tc>
          <w:tcPr>
            <w:tcW w:w="5240" w:type="dxa"/>
          </w:tcPr>
          <w:p w14:paraId="02839909" w14:textId="77777777" w:rsidR="00267077" w:rsidRDefault="00267077" w:rsidP="00267077">
            <w:pPr>
              <w:rPr>
                <w:rFonts w:cs="Arial"/>
              </w:rPr>
            </w:pPr>
            <w:r>
              <w:rPr>
                <w:rFonts w:cs="Arial"/>
              </w:rPr>
              <w:lastRenderedPageBreak/>
              <w:t xml:space="preserve">16. Is there any likelihood the </w:t>
            </w:r>
            <w:r w:rsidRPr="00EC1851">
              <w:rPr>
                <w:rFonts w:cs="Arial"/>
              </w:rPr>
              <w:t xml:space="preserve">policy </w:t>
            </w:r>
            <w:r w:rsidRPr="00EC1851">
              <w:rPr>
                <w:rFonts w:cs="Arial"/>
                <w:b/>
                <w:bCs/>
              </w:rPr>
              <w:t>could</w:t>
            </w:r>
            <w:r w:rsidRPr="00EC1851">
              <w:rPr>
                <w:rFonts w:cs="Arial"/>
              </w:rPr>
              <w:t xml:space="preserve"> have</w:t>
            </w:r>
            <w:r>
              <w:rPr>
                <w:rFonts w:cs="Arial"/>
              </w:rPr>
              <w:t xml:space="preserve"> a differential impact on people due to them being Transgender or Transsexual?</w:t>
            </w:r>
          </w:p>
        </w:tc>
        <w:tc>
          <w:tcPr>
            <w:tcW w:w="8789" w:type="dxa"/>
          </w:tcPr>
          <w:p w14:paraId="3BE12F15" w14:textId="77777777" w:rsidR="00267077" w:rsidRDefault="00267077" w:rsidP="00267077">
            <w:pPr>
              <w:rPr>
                <w:b/>
                <w:bCs/>
                <w:color w:val="auto"/>
              </w:rPr>
            </w:pPr>
            <w:r w:rsidRPr="00A07A74">
              <w:rPr>
                <w:b/>
                <w:bCs/>
                <w:color w:val="auto"/>
              </w:rPr>
              <w:t>No</w:t>
            </w:r>
          </w:p>
          <w:p w14:paraId="41CC530C" w14:textId="075D3F39" w:rsidR="001F0EF3" w:rsidRPr="001F0EF3" w:rsidRDefault="001F0EF3" w:rsidP="001F0EF3">
            <w:r w:rsidRPr="001F0EF3">
              <w:t xml:space="preserve">Victims of rape or serious sexual assault may be male or female of any age. Throughout the investigation the individual needs of </w:t>
            </w:r>
            <w:proofErr w:type="gramStart"/>
            <w:r w:rsidRPr="001F0EF3">
              <w:t>the each</w:t>
            </w:r>
            <w:proofErr w:type="gramEnd"/>
            <w:r w:rsidRPr="001F0EF3">
              <w:t xml:space="preserve"> victim should be addressed with particular sensitivity to their gender, race, age, sexual orientation, transgender, disability, religion or belief. This Policy complies with the Equality Act 2010.</w:t>
            </w:r>
          </w:p>
        </w:tc>
      </w:tr>
      <w:tr w:rsidR="00267077" w14:paraId="6C0E8494" w14:textId="77777777" w:rsidTr="00B720DC">
        <w:trPr>
          <w:trHeight w:val="1002"/>
        </w:trPr>
        <w:tc>
          <w:tcPr>
            <w:tcW w:w="5240" w:type="dxa"/>
          </w:tcPr>
          <w:p w14:paraId="0BB08FD9" w14:textId="77777777" w:rsidR="00267077" w:rsidRDefault="00267077" w:rsidP="00267077">
            <w:pPr>
              <w:rPr>
                <w:rFonts w:cs="Arial"/>
              </w:rPr>
            </w:pPr>
            <w:r>
              <w:rPr>
                <w:rFonts w:cs="Arial"/>
              </w:rPr>
              <w:t>What existing evidence (either presumed or otherwise) do you have for this?</w:t>
            </w:r>
          </w:p>
        </w:tc>
        <w:tc>
          <w:tcPr>
            <w:tcW w:w="8789" w:type="dxa"/>
          </w:tcPr>
          <w:p w14:paraId="0F8B3F77" w14:textId="1CD3BA69" w:rsidR="00267077" w:rsidRPr="00A07A74" w:rsidRDefault="00267077" w:rsidP="00267077">
            <w:pPr>
              <w:rPr>
                <w:rFonts w:cs="Arial"/>
                <w:color w:val="auto"/>
              </w:rPr>
            </w:pPr>
          </w:p>
        </w:tc>
      </w:tr>
      <w:tr w:rsidR="00267077" w14:paraId="4DCFEBD0" w14:textId="77777777" w:rsidTr="00B720DC">
        <w:trPr>
          <w:trHeight w:val="1130"/>
        </w:trPr>
        <w:tc>
          <w:tcPr>
            <w:tcW w:w="5240" w:type="dxa"/>
          </w:tcPr>
          <w:p w14:paraId="3B0812D6" w14:textId="21384768" w:rsidR="00267077" w:rsidRDefault="00267077" w:rsidP="00267077">
            <w:pPr>
              <w:rPr>
                <w:rFonts w:cs="Arial"/>
              </w:rPr>
            </w:pPr>
            <w:r>
              <w:rPr>
                <w:rFonts w:cs="Arial"/>
              </w:rPr>
              <w:t>17. If a differential impact has been identified in 8-16, will this amount to there being the potential for an adverse impact in this policy?</w:t>
            </w:r>
          </w:p>
        </w:tc>
        <w:tc>
          <w:tcPr>
            <w:tcW w:w="8789" w:type="dxa"/>
          </w:tcPr>
          <w:p w14:paraId="2B0B0D9D" w14:textId="0F39246B" w:rsidR="00267077" w:rsidRPr="00A07A74" w:rsidRDefault="00267077" w:rsidP="00267077">
            <w:pPr>
              <w:rPr>
                <w:b/>
                <w:bCs/>
                <w:color w:val="auto"/>
              </w:rPr>
            </w:pPr>
            <w:r w:rsidRPr="00A07A74">
              <w:rPr>
                <w:b/>
                <w:bCs/>
                <w:color w:val="auto"/>
              </w:rPr>
              <w:t>No</w:t>
            </w:r>
          </w:p>
          <w:p w14:paraId="798DBE71" w14:textId="5FB07303" w:rsidR="00267077" w:rsidRPr="0005489F" w:rsidRDefault="00267077" w:rsidP="00267077">
            <w:pPr>
              <w:rPr>
                <w:color w:val="auto"/>
              </w:rPr>
            </w:pPr>
          </w:p>
        </w:tc>
      </w:tr>
      <w:tr w:rsidR="00267077" w14:paraId="2342E1F7" w14:textId="77777777" w:rsidTr="00B720DC">
        <w:trPr>
          <w:trHeight w:val="1106"/>
        </w:trPr>
        <w:tc>
          <w:tcPr>
            <w:tcW w:w="5240" w:type="dxa"/>
          </w:tcPr>
          <w:p w14:paraId="3C9660A8" w14:textId="77777777" w:rsidR="00267077" w:rsidRPr="00CF70F4" w:rsidRDefault="00267077" w:rsidP="00267077">
            <w:pPr>
              <w:rPr>
                <w:rFonts w:cs="Arial"/>
              </w:rPr>
            </w:pPr>
            <w:r w:rsidRPr="00CF70F4">
              <w:rPr>
                <w:rFonts w:cs="Arial"/>
              </w:rPr>
              <w:t>18. Can this adverse impact be justified on the grounds of promoting equality of opportunity for one group? Or any other reason</w:t>
            </w:r>
            <w:r>
              <w:rPr>
                <w:rFonts w:cs="Arial"/>
              </w:rPr>
              <w:t>?</w:t>
            </w:r>
          </w:p>
        </w:tc>
        <w:tc>
          <w:tcPr>
            <w:tcW w:w="8789" w:type="dxa"/>
          </w:tcPr>
          <w:p w14:paraId="5AFFD2B2" w14:textId="005F363D" w:rsidR="00267077" w:rsidRPr="00A07A74" w:rsidRDefault="00267077" w:rsidP="00267077">
            <w:pPr>
              <w:rPr>
                <w:b/>
                <w:bCs/>
                <w:color w:val="auto"/>
              </w:rPr>
            </w:pPr>
            <w:r w:rsidRPr="00A07A74">
              <w:rPr>
                <w:b/>
                <w:bCs/>
                <w:color w:val="auto"/>
              </w:rPr>
              <w:t>No</w:t>
            </w:r>
          </w:p>
        </w:tc>
      </w:tr>
      <w:tr w:rsidR="00267077" w14:paraId="4368A430" w14:textId="77777777" w:rsidTr="00B720DC">
        <w:trPr>
          <w:trHeight w:val="974"/>
        </w:trPr>
        <w:tc>
          <w:tcPr>
            <w:tcW w:w="5240" w:type="dxa"/>
          </w:tcPr>
          <w:p w14:paraId="2028155E" w14:textId="7F0EB3B6" w:rsidR="00267077" w:rsidRDefault="00267077" w:rsidP="00267077">
            <w:pPr>
              <w:rPr>
                <w:rFonts w:cs="Arial"/>
              </w:rPr>
            </w:pPr>
            <w:r>
              <w:rPr>
                <w:rFonts w:cs="Arial"/>
              </w:rPr>
              <w:t xml:space="preserve">19. If </w:t>
            </w:r>
            <w:proofErr w:type="gramStart"/>
            <w:r>
              <w:rPr>
                <w:rFonts w:cs="Arial"/>
              </w:rPr>
              <w:t>Yes</w:t>
            </w:r>
            <w:proofErr w:type="gramEnd"/>
            <w:r>
              <w:rPr>
                <w:rFonts w:cs="Arial"/>
              </w:rPr>
              <w:t>, is there enough evidence to proceed to a full EIA?</w:t>
            </w:r>
          </w:p>
        </w:tc>
        <w:tc>
          <w:tcPr>
            <w:tcW w:w="8789" w:type="dxa"/>
          </w:tcPr>
          <w:p w14:paraId="0A1FC616" w14:textId="77777777" w:rsidR="00267077" w:rsidRDefault="00267077" w:rsidP="00267077">
            <w:pPr>
              <w:rPr>
                <w:b/>
                <w:bCs/>
                <w:color w:val="auto"/>
              </w:rPr>
            </w:pPr>
            <w:r w:rsidRPr="00A07A74">
              <w:rPr>
                <w:b/>
                <w:bCs/>
                <w:color w:val="auto"/>
              </w:rPr>
              <w:t>No</w:t>
            </w:r>
          </w:p>
          <w:p w14:paraId="17877A39" w14:textId="693750B3" w:rsidR="00267077" w:rsidRPr="0005489F" w:rsidRDefault="00267077" w:rsidP="00267077">
            <w:pPr>
              <w:rPr>
                <w:color w:val="auto"/>
              </w:rPr>
            </w:pPr>
          </w:p>
        </w:tc>
      </w:tr>
      <w:tr w:rsidR="00267077" w14:paraId="00A89C69" w14:textId="77777777" w:rsidTr="00B720DC">
        <w:trPr>
          <w:trHeight w:val="650"/>
        </w:trPr>
        <w:tc>
          <w:tcPr>
            <w:tcW w:w="5240" w:type="dxa"/>
          </w:tcPr>
          <w:p w14:paraId="53316AA8" w14:textId="07181CA7" w:rsidR="00267077" w:rsidRDefault="00267077" w:rsidP="00267077">
            <w:pPr>
              <w:rPr>
                <w:rFonts w:cs="Arial"/>
              </w:rPr>
            </w:pPr>
            <w:r>
              <w:rPr>
                <w:rFonts w:cs="Arial"/>
              </w:rPr>
              <w:t>20. Date on which Full impact assessment to be completed by.</w:t>
            </w:r>
          </w:p>
        </w:tc>
        <w:tc>
          <w:tcPr>
            <w:tcW w:w="8789" w:type="dxa"/>
          </w:tcPr>
          <w:p w14:paraId="29D58DAB" w14:textId="77777777" w:rsidR="00267077" w:rsidRPr="00A07A74" w:rsidRDefault="00267077" w:rsidP="00267077">
            <w:pPr>
              <w:rPr>
                <w:rFonts w:cs="Arial"/>
                <w:color w:val="auto"/>
              </w:rPr>
            </w:pPr>
          </w:p>
        </w:tc>
      </w:tr>
    </w:tbl>
    <w:p w14:paraId="5F851FF7" w14:textId="77777777" w:rsidR="00C143E8" w:rsidRDefault="00C143E8" w:rsidP="00C143E8">
      <w:pPr>
        <w:rPr>
          <w:rFonts w:cs="Arial"/>
        </w:rPr>
      </w:pPr>
    </w:p>
    <w:p w14:paraId="4D50A8D6" w14:textId="72FE37A7" w:rsidR="00C143E8" w:rsidRPr="00C143E8" w:rsidRDefault="00C143E8" w:rsidP="00C143E8">
      <w:r>
        <w:t>Signed (completing officer)</w:t>
      </w:r>
      <w:r w:rsidR="003D2942">
        <w:t>:</w:t>
      </w:r>
      <w:r w:rsidR="001F0EF3">
        <w:t xml:space="preserve"> DI Gemma Smith</w:t>
      </w:r>
    </w:p>
    <w:p w14:paraId="79E309F9" w14:textId="779D5562" w:rsidR="00076929" w:rsidRPr="0071268F" w:rsidRDefault="00C143E8" w:rsidP="0071268F">
      <w:pPr>
        <w:rPr>
          <w:rFonts w:cs="Arial"/>
        </w:rPr>
      </w:pPr>
      <w:r>
        <w:rPr>
          <w:rFonts w:cs="Arial"/>
        </w:rPr>
        <w:lastRenderedPageBreak/>
        <w:t>Signed (Lead officer)</w:t>
      </w:r>
      <w:r w:rsidR="00E24C76">
        <w:rPr>
          <w:rFonts w:cs="Arial"/>
        </w:rPr>
        <w:t xml:space="preserve">: </w:t>
      </w:r>
      <w:r w:rsidR="00076929">
        <w:br w:type="page"/>
      </w:r>
    </w:p>
    <w:p w14:paraId="0CB32B31" w14:textId="136E911B" w:rsidR="00C143E8" w:rsidRPr="00C143E8" w:rsidRDefault="00C143E8" w:rsidP="00C143E8">
      <w:pPr>
        <w:pStyle w:val="Heading2"/>
      </w:pPr>
      <w:r>
        <w:lastRenderedPageBreak/>
        <w:t xml:space="preserve">Groups </w:t>
      </w:r>
      <w:proofErr w:type="gramStart"/>
      <w:r w:rsidR="009A5655">
        <w:t>a</w:t>
      </w:r>
      <w:r>
        <w:t>ffected</w:t>
      </w:r>
      <w:proofErr w:type="gramEnd"/>
    </w:p>
    <w:p w14:paraId="3FC93354" w14:textId="67AA57AA" w:rsidR="00C143E8" w:rsidRPr="00C143E8" w:rsidRDefault="00C143E8" w:rsidP="00C143E8">
      <w:r w:rsidRPr="00CF4F08">
        <w:t xml:space="preserve">Please identify the anticipated impact this activity will have on the following population groups.  </w:t>
      </w:r>
    </w:p>
    <w:p w14:paraId="24C2E620" w14:textId="77777777" w:rsidR="00C143E8" w:rsidRDefault="00C143E8" w:rsidP="00C143E8">
      <w:pPr>
        <w:pStyle w:val="ListParagraph"/>
        <w:numPr>
          <w:ilvl w:val="0"/>
          <w:numId w:val="17"/>
        </w:numPr>
      </w:pPr>
      <w:r w:rsidRPr="00CF4F08">
        <w:t>Tick the appropriate box and give explanation if so required,</w:t>
      </w:r>
    </w:p>
    <w:p w14:paraId="64030D79" w14:textId="149B97F4" w:rsidR="00C143E8" w:rsidRDefault="00C143E8" w:rsidP="00C143E8">
      <w:pPr>
        <w:pStyle w:val="ListParagraph"/>
        <w:numPr>
          <w:ilvl w:val="0"/>
          <w:numId w:val="17"/>
        </w:numPr>
      </w:pPr>
      <w:r w:rsidRPr="00AE5283">
        <w:t>Please note that there are both likely benefit</w:t>
      </w:r>
      <w:r>
        <w:t xml:space="preserve">s and adverse impact within the </w:t>
      </w:r>
      <w:r w:rsidRPr="00AE5283">
        <w:t xml:space="preserve">same </w:t>
      </w:r>
      <w:proofErr w:type="gramStart"/>
      <w:r w:rsidRPr="00AE5283">
        <w:t>group</w:t>
      </w:r>
      <w:proofErr w:type="gramEnd"/>
    </w:p>
    <w:p w14:paraId="0CAC19BF" w14:textId="17F2A27C" w:rsidR="00C143E8" w:rsidRDefault="00C143E8" w:rsidP="00C143E8">
      <w:pPr>
        <w:pStyle w:val="ListParagraph"/>
        <w:numPr>
          <w:ilvl w:val="0"/>
          <w:numId w:val="17"/>
        </w:numPr>
      </w:pPr>
      <w:r w:rsidRPr="00C143E8">
        <w:rPr>
          <w:bCs/>
        </w:rPr>
        <w:t>Any groups highlighted as likely to be adversely affected should be consulted in the second stage Full Impact Assessment if one has been identified as being needed.</w:t>
      </w:r>
    </w:p>
    <w:tbl>
      <w:tblPr>
        <w:tblStyle w:val="TableGrid"/>
        <w:tblW w:w="0" w:type="auto"/>
        <w:tblLook w:val="01E0" w:firstRow="1" w:lastRow="1" w:firstColumn="1" w:lastColumn="1" w:noHBand="0" w:noVBand="0"/>
        <w:tblCaption w:val="Groups affected by this policy"/>
        <w:tblDescription w:val="Table showing the groups affected by the policy (disability, gender, transgender, race, sexual orientation, religion and belief, age, marriage and civil partnerships) and the level of impact on them (likely to benfefit, no impact or adverse impact)"/>
      </w:tblPr>
      <w:tblGrid>
        <w:gridCol w:w="8052"/>
        <w:gridCol w:w="1956"/>
        <w:gridCol w:w="1604"/>
        <w:gridCol w:w="2336"/>
      </w:tblGrid>
      <w:tr w:rsidR="00C143E8" w14:paraId="2D89A728" w14:textId="77777777" w:rsidTr="00C15F76">
        <w:tc>
          <w:tcPr>
            <w:tcW w:w="8052" w:type="dxa"/>
          </w:tcPr>
          <w:p w14:paraId="41645E1F" w14:textId="77777777" w:rsidR="00C143E8" w:rsidRDefault="00C143E8" w:rsidP="001F3E93">
            <w:pPr>
              <w:rPr>
                <w:rFonts w:cs="Arial"/>
              </w:rPr>
            </w:pPr>
          </w:p>
        </w:tc>
        <w:tc>
          <w:tcPr>
            <w:tcW w:w="1956" w:type="dxa"/>
          </w:tcPr>
          <w:p w14:paraId="427BABC5" w14:textId="77777777" w:rsidR="00C143E8" w:rsidRPr="00022B4B" w:rsidRDefault="00C143E8" w:rsidP="001F3E93">
            <w:pPr>
              <w:rPr>
                <w:rFonts w:cs="Arial"/>
              </w:rPr>
            </w:pPr>
            <w:r w:rsidRPr="00022B4B">
              <w:rPr>
                <w:rFonts w:cs="Arial"/>
              </w:rPr>
              <w:t>Likely to Benefit</w:t>
            </w:r>
          </w:p>
        </w:tc>
        <w:tc>
          <w:tcPr>
            <w:tcW w:w="1604" w:type="dxa"/>
          </w:tcPr>
          <w:p w14:paraId="1D797C9C" w14:textId="77777777" w:rsidR="00C143E8" w:rsidRPr="00022B4B" w:rsidRDefault="00C143E8" w:rsidP="001F3E93">
            <w:pPr>
              <w:rPr>
                <w:rFonts w:cs="Arial"/>
              </w:rPr>
            </w:pPr>
            <w:r w:rsidRPr="00022B4B">
              <w:rPr>
                <w:rFonts w:cs="Arial"/>
              </w:rPr>
              <w:t>No Impact</w:t>
            </w:r>
          </w:p>
        </w:tc>
        <w:tc>
          <w:tcPr>
            <w:tcW w:w="2336" w:type="dxa"/>
          </w:tcPr>
          <w:p w14:paraId="58AE308E" w14:textId="77777777" w:rsidR="00C143E8" w:rsidRPr="00022B4B" w:rsidRDefault="00C143E8" w:rsidP="001F3E93">
            <w:pPr>
              <w:rPr>
                <w:rFonts w:cs="Arial"/>
              </w:rPr>
            </w:pPr>
            <w:r w:rsidRPr="00022B4B">
              <w:rPr>
                <w:rFonts w:cs="Arial"/>
              </w:rPr>
              <w:t>Adverse Impact</w:t>
            </w:r>
          </w:p>
        </w:tc>
      </w:tr>
      <w:tr w:rsidR="00076929" w14:paraId="3B8D78AF" w14:textId="77777777" w:rsidTr="00C15F76">
        <w:tc>
          <w:tcPr>
            <w:tcW w:w="8052" w:type="dxa"/>
          </w:tcPr>
          <w:p w14:paraId="344C28C0" w14:textId="0542479A" w:rsidR="00076929" w:rsidRDefault="00076929" w:rsidP="00076929">
            <w:pPr>
              <w:rPr>
                <w:rFonts w:cs="Arial"/>
              </w:rPr>
            </w:pPr>
            <w:r>
              <w:rPr>
                <w:rFonts w:cs="Arial"/>
                <w:b/>
              </w:rPr>
              <w:t>Disability</w:t>
            </w:r>
            <w:r w:rsidR="00EC1851">
              <w:rPr>
                <w:rFonts w:cs="Arial"/>
                <w:b/>
              </w:rPr>
              <w:t>:</w:t>
            </w:r>
            <w:r>
              <w:rPr>
                <w:rFonts w:cs="Arial"/>
                <w:b/>
              </w:rPr>
              <w:t xml:space="preserve"> </w:t>
            </w:r>
            <w:r>
              <w:rPr>
                <w:rFonts w:cs="Arial"/>
              </w:rPr>
              <w:t>Physical, Sensory, Learning Disability, Mental Health, Carers</w:t>
            </w:r>
          </w:p>
        </w:tc>
        <w:tc>
          <w:tcPr>
            <w:tcW w:w="1956" w:type="dxa"/>
          </w:tcPr>
          <w:p w14:paraId="68C41587" w14:textId="1C1CFE3D" w:rsidR="00076929" w:rsidRDefault="00076929" w:rsidP="00076929">
            <w:pPr>
              <w:jc w:val="center"/>
              <w:rPr>
                <w:rFonts w:cs="Arial"/>
              </w:rPr>
            </w:pPr>
            <w:r w:rsidRPr="00534437">
              <w:rPr>
                <w:rFonts w:cs="Arial"/>
              </w:rPr>
              <w:fldChar w:fldCharType="begin">
                <w:ffData>
                  <w:name w:val="Check2"/>
                  <w:enabled/>
                  <w:calcOnExit w:val="0"/>
                  <w:checkBox>
                    <w:sizeAuto/>
                    <w:default w:val="0"/>
                  </w:checkBox>
                </w:ffData>
              </w:fldChar>
            </w:r>
            <w:bookmarkStart w:id="0" w:name="Check2"/>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bookmarkEnd w:id="0"/>
          </w:p>
        </w:tc>
        <w:tc>
          <w:tcPr>
            <w:tcW w:w="1604" w:type="dxa"/>
          </w:tcPr>
          <w:p w14:paraId="457ADCB2" w14:textId="507A6166" w:rsidR="00076929" w:rsidRDefault="00EA2B1D" w:rsidP="00076929">
            <w:pPr>
              <w:jc w:val="center"/>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5146E1">
              <w:rPr>
                <w:rFonts w:cs="Arial"/>
              </w:rPr>
            </w:r>
            <w:r w:rsidR="005146E1">
              <w:rPr>
                <w:rFonts w:cs="Arial"/>
              </w:rPr>
              <w:fldChar w:fldCharType="separate"/>
            </w:r>
            <w:r>
              <w:rPr>
                <w:rFonts w:cs="Arial"/>
              </w:rPr>
              <w:fldChar w:fldCharType="end"/>
            </w:r>
          </w:p>
        </w:tc>
        <w:tc>
          <w:tcPr>
            <w:tcW w:w="2336" w:type="dxa"/>
          </w:tcPr>
          <w:p w14:paraId="15716DC9" w14:textId="592594B5" w:rsidR="00076929" w:rsidRDefault="00076929" w:rsidP="00076929">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r>
      <w:tr w:rsidR="00EA2B1D" w14:paraId="0F38D2D6" w14:textId="77777777" w:rsidTr="00C15F76">
        <w:tc>
          <w:tcPr>
            <w:tcW w:w="8052" w:type="dxa"/>
          </w:tcPr>
          <w:p w14:paraId="7F648358" w14:textId="6500B3FD" w:rsidR="00EA2B1D" w:rsidRDefault="00EA2B1D" w:rsidP="00EA2B1D">
            <w:pPr>
              <w:rPr>
                <w:rFonts w:cs="Arial"/>
              </w:rPr>
            </w:pPr>
            <w:r>
              <w:rPr>
                <w:rFonts w:cs="Arial"/>
                <w:b/>
              </w:rPr>
              <w:t xml:space="preserve">Gender: </w:t>
            </w:r>
            <w:r>
              <w:rPr>
                <w:rFonts w:cs="Arial"/>
              </w:rPr>
              <w:t>Male, Female</w:t>
            </w:r>
          </w:p>
        </w:tc>
        <w:tc>
          <w:tcPr>
            <w:tcW w:w="1956" w:type="dxa"/>
          </w:tcPr>
          <w:p w14:paraId="4E0FB0C4" w14:textId="1F52389D"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c>
          <w:tcPr>
            <w:tcW w:w="1604" w:type="dxa"/>
          </w:tcPr>
          <w:p w14:paraId="4AFD3B53" w14:textId="184B6F90"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5146E1">
              <w:rPr>
                <w:rFonts w:cs="Arial"/>
              </w:rPr>
            </w:r>
            <w:r w:rsidR="005146E1">
              <w:rPr>
                <w:rFonts w:cs="Arial"/>
              </w:rPr>
              <w:fldChar w:fldCharType="separate"/>
            </w:r>
            <w:r w:rsidRPr="00A100AA">
              <w:rPr>
                <w:rFonts w:cs="Arial"/>
              </w:rPr>
              <w:fldChar w:fldCharType="end"/>
            </w:r>
          </w:p>
        </w:tc>
        <w:tc>
          <w:tcPr>
            <w:tcW w:w="2336" w:type="dxa"/>
          </w:tcPr>
          <w:p w14:paraId="6FD9BD1C" w14:textId="11C6CD7B"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r>
      <w:tr w:rsidR="00EA2B1D" w14:paraId="4CA725EB" w14:textId="77777777" w:rsidTr="00C15F76">
        <w:tc>
          <w:tcPr>
            <w:tcW w:w="8052" w:type="dxa"/>
          </w:tcPr>
          <w:p w14:paraId="34B66396" w14:textId="468401C6" w:rsidR="00EA2B1D" w:rsidRDefault="00EA2B1D" w:rsidP="00EA2B1D">
            <w:pPr>
              <w:rPr>
                <w:rFonts w:cs="Arial"/>
                <w:b/>
              </w:rPr>
            </w:pPr>
            <w:r>
              <w:rPr>
                <w:rFonts w:cs="Arial"/>
                <w:b/>
              </w:rPr>
              <w:t>Transgender</w:t>
            </w:r>
          </w:p>
        </w:tc>
        <w:tc>
          <w:tcPr>
            <w:tcW w:w="1956" w:type="dxa"/>
          </w:tcPr>
          <w:p w14:paraId="54173740" w14:textId="30529955"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c>
          <w:tcPr>
            <w:tcW w:w="1604" w:type="dxa"/>
          </w:tcPr>
          <w:p w14:paraId="19AF7036" w14:textId="21EBADD8"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5146E1">
              <w:rPr>
                <w:rFonts w:cs="Arial"/>
              </w:rPr>
            </w:r>
            <w:r w:rsidR="005146E1">
              <w:rPr>
                <w:rFonts w:cs="Arial"/>
              </w:rPr>
              <w:fldChar w:fldCharType="separate"/>
            </w:r>
            <w:r w:rsidRPr="00A100AA">
              <w:rPr>
                <w:rFonts w:cs="Arial"/>
              </w:rPr>
              <w:fldChar w:fldCharType="end"/>
            </w:r>
          </w:p>
        </w:tc>
        <w:tc>
          <w:tcPr>
            <w:tcW w:w="2336" w:type="dxa"/>
          </w:tcPr>
          <w:p w14:paraId="7A7098E9" w14:textId="12C5A67A"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r>
      <w:tr w:rsidR="00EA2B1D" w14:paraId="318585C5" w14:textId="77777777" w:rsidTr="00C15F76">
        <w:tc>
          <w:tcPr>
            <w:tcW w:w="8052" w:type="dxa"/>
          </w:tcPr>
          <w:p w14:paraId="4FF713C5" w14:textId="6366DE26" w:rsidR="00EA2B1D" w:rsidRDefault="00EA2B1D" w:rsidP="00EA2B1D">
            <w:pPr>
              <w:rPr>
                <w:rFonts w:cs="Arial"/>
              </w:rPr>
            </w:pPr>
            <w:r>
              <w:rPr>
                <w:rFonts w:cs="Arial"/>
                <w:b/>
              </w:rPr>
              <w:t xml:space="preserve">Race: </w:t>
            </w:r>
            <w:r>
              <w:rPr>
                <w:rFonts w:cs="Arial"/>
              </w:rPr>
              <w:t>Traveller and Gypsy etc</w:t>
            </w:r>
          </w:p>
        </w:tc>
        <w:tc>
          <w:tcPr>
            <w:tcW w:w="1956" w:type="dxa"/>
          </w:tcPr>
          <w:p w14:paraId="54BE4A27" w14:textId="6BD1117E"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c>
          <w:tcPr>
            <w:tcW w:w="1604" w:type="dxa"/>
          </w:tcPr>
          <w:p w14:paraId="232F8EFD" w14:textId="5EA37A0B"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5146E1">
              <w:rPr>
                <w:rFonts w:cs="Arial"/>
              </w:rPr>
            </w:r>
            <w:r w:rsidR="005146E1">
              <w:rPr>
                <w:rFonts w:cs="Arial"/>
              </w:rPr>
              <w:fldChar w:fldCharType="separate"/>
            </w:r>
            <w:r w:rsidRPr="00A100AA">
              <w:rPr>
                <w:rFonts w:cs="Arial"/>
              </w:rPr>
              <w:fldChar w:fldCharType="end"/>
            </w:r>
          </w:p>
        </w:tc>
        <w:tc>
          <w:tcPr>
            <w:tcW w:w="2336" w:type="dxa"/>
          </w:tcPr>
          <w:p w14:paraId="728D4B0F" w14:textId="4390520A"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r>
      <w:tr w:rsidR="00EA2B1D" w14:paraId="054D54EF" w14:textId="77777777" w:rsidTr="00C15F76">
        <w:tc>
          <w:tcPr>
            <w:tcW w:w="8052" w:type="dxa"/>
          </w:tcPr>
          <w:p w14:paraId="73E65459" w14:textId="72308DF4" w:rsidR="00EA2B1D" w:rsidRDefault="00EA2B1D" w:rsidP="00EA2B1D">
            <w:pPr>
              <w:rPr>
                <w:rFonts w:cs="Arial"/>
              </w:rPr>
            </w:pPr>
            <w:r>
              <w:rPr>
                <w:rFonts w:cs="Arial"/>
                <w:b/>
              </w:rPr>
              <w:t xml:space="preserve">Sexual Orientation: </w:t>
            </w:r>
            <w:r>
              <w:rPr>
                <w:rFonts w:cs="Arial"/>
              </w:rPr>
              <w:t>Lesbian, Gay, Bisexual</w:t>
            </w:r>
          </w:p>
        </w:tc>
        <w:tc>
          <w:tcPr>
            <w:tcW w:w="1956" w:type="dxa"/>
          </w:tcPr>
          <w:p w14:paraId="663EC3E7" w14:textId="4E98F0C7"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c>
          <w:tcPr>
            <w:tcW w:w="1604" w:type="dxa"/>
          </w:tcPr>
          <w:p w14:paraId="10EE7293" w14:textId="1BE2EE7A"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5146E1">
              <w:rPr>
                <w:rFonts w:cs="Arial"/>
              </w:rPr>
            </w:r>
            <w:r w:rsidR="005146E1">
              <w:rPr>
                <w:rFonts w:cs="Arial"/>
              </w:rPr>
              <w:fldChar w:fldCharType="separate"/>
            </w:r>
            <w:r w:rsidRPr="00A100AA">
              <w:rPr>
                <w:rFonts w:cs="Arial"/>
              </w:rPr>
              <w:fldChar w:fldCharType="end"/>
            </w:r>
          </w:p>
        </w:tc>
        <w:tc>
          <w:tcPr>
            <w:tcW w:w="2336" w:type="dxa"/>
          </w:tcPr>
          <w:p w14:paraId="26AE3C55" w14:textId="12A81A8F"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r>
      <w:tr w:rsidR="00EA2B1D" w14:paraId="41B60C3A" w14:textId="77777777" w:rsidTr="00C15F76">
        <w:tc>
          <w:tcPr>
            <w:tcW w:w="8052" w:type="dxa"/>
          </w:tcPr>
          <w:p w14:paraId="1E24CB77" w14:textId="4FADD63E" w:rsidR="00EA2B1D" w:rsidRDefault="00EA2B1D" w:rsidP="00EA2B1D">
            <w:pPr>
              <w:rPr>
                <w:rFonts w:cs="Arial"/>
                <w:b/>
              </w:rPr>
            </w:pPr>
            <w:r>
              <w:rPr>
                <w:rFonts w:cs="Arial"/>
                <w:b/>
              </w:rPr>
              <w:t>Religion and Belief</w:t>
            </w:r>
          </w:p>
        </w:tc>
        <w:tc>
          <w:tcPr>
            <w:tcW w:w="1956" w:type="dxa"/>
          </w:tcPr>
          <w:p w14:paraId="049E43E4" w14:textId="5C59F29C"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c>
          <w:tcPr>
            <w:tcW w:w="1604" w:type="dxa"/>
          </w:tcPr>
          <w:p w14:paraId="469F3A06" w14:textId="11BC37D3"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5146E1">
              <w:rPr>
                <w:rFonts w:cs="Arial"/>
              </w:rPr>
            </w:r>
            <w:r w:rsidR="005146E1">
              <w:rPr>
                <w:rFonts w:cs="Arial"/>
              </w:rPr>
              <w:fldChar w:fldCharType="separate"/>
            </w:r>
            <w:r w:rsidRPr="00A100AA">
              <w:rPr>
                <w:rFonts w:cs="Arial"/>
              </w:rPr>
              <w:fldChar w:fldCharType="end"/>
            </w:r>
          </w:p>
        </w:tc>
        <w:tc>
          <w:tcPr>
            <w:tcW w:w="2336" w:type="dxa"/>
          </w:tcPr>
          <w:p w14:paraId="6581DADC" w14:textId="560F9A05"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r>
      <w:tr w:rsidR="00EA2B1D" w14:paraId="2CB84826" w14:textId="77777777" w:rsidTr="00C15F76">
        <w:tc>
          <w:tcPr>
            <w:tcW w:w="8052" w:type="dxa"/>
          </w:tcPr>
          <w:p w14:paraId="191635A0" w14:textId="73CC566C" w:rsidR="00EA2B1D" w:rsidRDefault="00EA2B1D" w:rsidP="00EA2B1D">
            <w:pPr>
              <w:rPr>
                <w:rFonts w:cs="Arial"/>
              </w:rPr>
            </w:pPr>
            <w:r>
              <w:rPr>
                <w:rFonts w:cs="Arial"/>
                <w:b/>
              </w:rPr>
              <w:t xml:space="preserve">Age: </w:t>
            </w:r>
            <w:r>
              <w:rPr>
                <w:rFonts w:cs="Arial"/>
              </w:rPr>
              <w:t>Young and Old</w:t>
            </w:r>
          </w:p>
        </w:tc>
        <w:tc>
          <w:tcPr>
            <w:tcW w:w="1956" w:type="dxa"/>
          </w:tcPr>
          <w:p w14:paraId="04140D7A" w14:textId="01BD2F3B"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c>
          <w:tcPr>
            <w:tcW w:w="1604" w:type="dxa"/>
          </w:tcPr>
          <w:p w14:paraId="1055A657" w14:textId="7A352B96"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5146E1">
              <w:rPr>
                <w:rFonts w:cs="Arial"/>
              </w:rPr>
            </w:r>
            <w:r w:rsidR="005146E1">
              <w:rPr>
                <w:rFonts w:cs="Arial"/>
              </w:rPr>
              <w:fldChar w:fldCharType="separate"/>
            </w:r>
            <w:r w:rsidRPr="00A100AA">
              <w:rPr>
                <w:rFonts w:cs="Arial"/>
              </w:rPr>
              <w:fldChar w:fldCharType="end"/>
            </w:r>
          </w:p>
        </w:tc>
        <w:tc>
          <w:tcPr>
            <w:tcW w:w="2336" w:type="dxa"/>
          </w:tcPr>
          <w:p w14:paraId="40DB00BE" w14:textId="2F9482E4"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r>
      <w:tr w:rsidR="00EA2B1D" w14:paraId="356059BE" w14:textId="77777777" w:rsidTr="00C15F76">
        <w:tc>
          <w:tcPr>
            <w:tcW w:w="8052" w:type="dxa"/>
          </w:tcPr>
          <w:p w14:paraId="12489F08" w14:textId="4E4900D1" w:rsidR="00EA2B1D" w:rsidRDefault="00EA2B1D" w:rsidP="00EA2B1D">
            <w:pPr>
              <w:rPr>
                <w:rFonts w:cs="Arial"/>
                <w:b/>
              </w:rPr>
            </w:pPr>
            <w:r>
              <w:rPr>
                <w:rFonts w:cs="Arial"/>
                <w:b/>
              </w:rPr>
              <w:t>Marriage and Civil Partnerships</w:t>
            </w:r>
          </w:p>
        </w:tc>
        <w:tc>
          <w:tcPr>
            <w:tcW w:w="1956" w:type="dxa"/>
          </w:tcPr>
          <w:p w14:paraId="0709B4ED" w14:textId="51C994C4"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c>
          <w:tcPr>
            <w:tcW w:w="1604" w:type="dxa"/>
          </w:tcPr>
          <w:p w14:paraId="1A6E925C" w14:textId="03909FD5"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5146E1">
              <w:rPr>
                <w:rFonts w:cs="Arial"/>
              </w:rPr>
            </w:r>
            <w:r w:rsidR="005146E1">
              <w:rPr>
                <w:rFonts w:cs="Arial"/>
              </w:rPr>
              <w:fldChar w:fldCharType="separate"/>
            </w:r>
            <w:r w:rsidRPr="00A100AA">
              <w:rPr>
                <w:rFonts w:cs="Arial"/>
              </w:rPr>
              <w:fldChar w:fldCharType="end"/>
            </w:r>
          </w:p>
        </w:tc>
        <w:tc>
          <w:tcPr>
            <w:tcW w:w="2336" w:type="dxa"/>
          </w:tcPr>
          <w:p w14:paraId="1EF197FC" w14:textId="6F6E2CD5"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5146E1">
              <w:rPr>
                <w:rFonts w:cs="Arial"/>
              </w:rPr>
            </w:r>
            <w:r w:rsidR="005146E1">
              <w:rPr>
                <w:rFonts w:cs="Arial"/>
              </w:rPr>
              <w:fldChar w:fldCharType="separate"/>
            </w:r>
            <w:r w:rsidRPr="00534437">
              <w:rPr>
                <w:rFonts w:cs="Arial"/>
              </w:rPr>
              <w:fldChar w:fldCharType="end"/>
            </w:r>
          </w:p>
        </w:tc>
      </w:tr>
    </w:tbl>
    <w:p w14:paraId="725CC5FB" w14:textId="77777777" w:rsidR="00C143E8" w:rsidRPr="001A020E" w:rsidRDefault="00C143E8" w:rsidP="00C143E8">
      <w:pPr>
        <w:tabs>
          <w:tab w:val="left" w:pos="851"/>
        </w:tabs>
        <w:rPr>
          <w:lang w:eastAsia="en-GB"/>
        </w:rPr>
      </w:pPr>
    </w:p>
    <w:sectPr w:rsidR="00C143E8" w:rsidRPr="001A020E">
      <w:pgSz w:w="16838" w:h="11906" w:orient="landscape" w:code="9"/>
      <w:pgMar w:top="54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3F10" w14:textId="77777777" w:rsidR="0051530F" w:rsidRDefault="0051530F" w:rsidP="0051530F">
      <w:pPr>
        <w:spacing w:after="0" w:line="240" w:lineRule="auto"/>
      </w:pPr>
      <w:r>
        <w:separator/>
      </w:r>
    </w:p>
  </w:endnote>
  <w:endnote w:type="continuationSeparator" w:id="0">
    <w:p w14:paraId="4F6ABD36" w14:textId="77777777" w:rsidR="0051530F" w:rsidRDefault="0051530F" w:rsidP="0051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06A3" w14:textId="77777777" w:rsidR="00BB4BB6" w:rsidRDefault="00BB4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AED" w14:textId="77777777" w:rsidR="00BB4BB6" w:rsidRDefault="00BB4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F37E" w14:textId="77777777" w:rsidR="00BB4BB6" w:rsidRDefault="00BB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72B7" w14:textId="77777777" w:rsidR="0051530F" w:rsidRDefault="0051530F" w:rsidP="0051530F">
      <w:pPr>
        <w:spacing w:after="0" w:line="240" w:lineRule="auto"/>
      </w:pPr>
      <w:r>
        <w:separator/>
      </w:r>
    </w:p>
  </w:footnote>
  <w:footnote w:type="continuationSeparator" w:id="0">
    <w:p w14:paraId="45E48220" w14:textId="77777777" w:rsidR="0051530F" w:rsidRDefault="0051530F" w:rsidP="00515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8283" w14:textId="77777777" w:rsidR="00BB4BB6" w:rsidRDefault="00BB4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556B" w14:textId="77777777" w:rsidR="00BB4BB6" w:rsidRDefault="00BB4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439B" w14:textId="77777777" w:rsidR="00BB4BB6" w:rsidRDefault="00BB4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6CA"/>
    <w:multiLevelType w:val="hybridMultilevel"/>
    <w:tmpl w:val="E068B76C"/>
    <w:lvl w:ilvl="0" w:tplc="2E32A8E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2075"/>
    <w:multiLevelType w:val="hybridMultilevel"/>
    <w:tmpl w:val="B3B8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C0133"/>
    <w:multiLevelType w:val="hybridMultilevel"/>
    <w:tmpl w:val="118C813C"/>
    <w:lvl w:ilvl="0" w:tplc="6ABA00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31813"/>
    <w:multiLevelType w:val="hybridMultilevel"/>
    <w:tmpl w:val="A746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91516"/>
    <w:multiLevelType w:val="hybridMultilevel"/>
    <w:tmpl w:val="59E4FA92"/>
    <w:lvl w:ilvl="0" w:tplc="6ABA0076">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47E27"/>
    <w:multiLevelType w:val="hybridMultilevel"/>
    <w:tmpl w:val="FECE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14D"/>
    <w:multiLevelType w:val="hybridMultilevel"/>
    <w:tmpl w:val="A81A5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900668"/>
    <w:multiLevelType w:val="hybridMultilevel"/>
    <w:tmpl w:val="00E6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00EA9"/>
    <w:multiLevelType w:val="hybridMultilevel"/>
    <w:tmpl w:val="4E269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ED0A32"/>
    <w:multiLevelType w:val="hybridMultilevel"/>
    <w:tmpl w:val="A35EF662"/>
    <w:lvl w:ilvl="0" w:tplc="6ABA00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C5544"/>
    <w:multiLevelType w:val="hybridMultilevel"/>
    <w:tmpl w:val="D4D6C8C6"/>
    <w:lvl w:ilvl="0" w:tplc="6ABA0076">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63D70"/>
    <w:multiLevelType w:val="multilevel"/>
    <w:tmpl w:val="7DE89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B0777"/>
    <w:multiLevelType w:val="hybridMultilevel"/>
    <w:tmpl w:val="42345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51F269B"/>
    <w:multiLevelType w:val="hybridMultilevel"/>
    <w:tmpl w:val="7B94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144342"/>
    <w:multiLevelType w:val="hybridMultilevel"/>
    <w:tmpl w:val="D87E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C5B3C"/>
    <w:multiLevelType w:val="hybridMultilevel"/>
    <w:tmpl w:val="A6B6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813428">
    <w:abstractNumId w:val="0"/>
  </w:num>
  <w:num w:numId="2" w16cid:durableId="391541991">
    <w:abstractNumId w:val="11"/>
  </w:num>
  <w:num w:numId="3" w16cid:durableId="1563253333">
    <w:abstractNumId w:val="3"/>
  </w:num>
  <w:num w:numId="4" w16cid:durableId="1753770380">
    <w:abstractNumId w:val="15"/>
  </w:num>
  <w:num w:numId="5" w16cid:durableId="1157069096">
    <w:abstractNumId w:val="2"/>
  </w:num>
  <w:num w:numId="6" w16cid:durableId="1389189433">
    <w:abstractNumId w:val="11"/>
  </w:num>
  <w:num w:numId="7" w16cid:durableId="1220169030">
    <w:abstractNumId w:val="11"/>
  </w:num>
  <w:num w:numId="8" w16cid:durableId="1244414832">
    <w:abstractNumId w:val="9"/>
  </w:num>
  <w:num w:numId="9" w16cid:durableId="1119448003">
    <w:abstractNumId w:val="4"/>
  </w:num>
  <w:num w:numId="10" w16cid:durableId="975334851">
    <w:abstractNumId w:val="10"/>
  </w:num>
  <w:num w:numId="11" w16cid:durableId="1742093550">
    <w:abstractNumId w:val="0"/>
  </w:num>
  <w:num w:numId="12" w16cid:durableId="2049067532">
    <w:abstractNumId w:val="5"/>
  </w:num>
  <w:num w:numId="13" w16cid:durableId="1396080026">
    <w:abstractNumId w:val="8"/>
  </w:num>
  <w:num w:numId="14" w16cid:durableId="1563365003">
    <w:abstractNumId w:val="12"/>
  </w:num>
  <w:num w:numId="15" w16cid:durableId="572663346">
    <w:abstractNumId w:val="6"/>
  </w:num>
  <w:num w:numId="16" w16cid:durableId="42170979">
    <w:abstractNumId w:val="14"/>
  </w:num>
  <w:num w:numId="17" w16cid:durableId="1942451366">
    <w:abstractNumId w:val="13"/>
  </w:num>
  <w:num w:numId="18" w16cid:durableId="1251040686">
    <w:abstractNumId w:val="7"/>
  </w:num>
  <w:num w:numId="19" w16cid:durableId="1961379777">
    <w:abstractNumId w:val="1"/>
  </w:num>
  <w:num w:numId="20" w16cid:durableId="2145151775">
    <w:abstractNumId w:val="0"/>
  </w:num>
  <w:num w:numId="21" w16cid:durableId="204393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0E"/>
    <w:rsid w:val="0005489F"/>
    <w:rsid w:val="00076929"/>
    <w:rsid w:val="001023AE"/>
    <w:rsid w:val="001048D3"/>
    <w:rsid w:val="00186457"/>
    <w:rsid w:val="001A020E"/>
    <w:rsid w:val="001A7996"/>
    <w:rsid w:val="001F0EF3"/>
    <w:rsid w:val="002668E5"/>
    <w:rsid w:val="00267077"/>
    <w:rsid w:val="003A044F"/>
    <w:rsid w:val="003D1A11"/>
    <w:rsid w:val="003D2942"/>
    <w:rsid w:val="00430A86"/>
    <w:rsid w:val="0049464D"/>
    <w:rsid w:val="005146E1"/>
    <w:rsid w:val="0051530F"/>
    <w:rsid w:val="005E576A"/>
    <w:rsid w:val="0063295E"/>
    <w:rsid w:val="00661012"/>
    <w:rsid w:val="006769F5"/>
    <w:rsid w:val="0071268F"/>
    <w:rsid w:val="00776B73"/>
    <w:rsid w:val="00797910"/>
    <w:rsid w:val="007D1FD5"/>
    <w:rsid w:val="007E05CE"/>
    <w:rsid w:val="0082369F"/>
    <w:rsid w:val="0085128C"/>
    <w:rsid w:val="0090198B"/>
    <w:rsid w:val="009A5655"/>
    <w:rsid w:val="009B2D12"/>
    <w:rsid w:val="009D0281"/>
    <w:rsid w:val="00A07A74"/>
    <w:rsid w:val="00A1024D"/>
    <w:rsid w:val="00A528AE"/>
    <w:rsid w:val="00AB65EC"/>
    <w:rsid w:val="00AD0E11"/>
    <w:rsid w:val="00B03A5C"/>
    <w:rsid w:val="00B720DC"/>
    <w:rsid w:val="00BB4BB6"/>
    <w:rsid w:val="00C143E8"/>
    <w:rsid w:val="00C15F76"/>
    <w:rsid w:val="00D82B54"/>
    <w:rsid w:val="00E24C76"/>
    <w:rsid w:val="00E64BB6"/>
    <w:rsid w:val="00EA2B1D"/>
    <w:rsid w:val="00EC1851"/>
    <w:rsid w:val="00F04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1CD4B5C"/>
  <w15:chartTrackingRefBased/>
  <w15:docId w15:val="{C9D56B83-5A73-491A-BD46-1D880BF3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FD5"/>
    <w:pPr>
      <w:spacing w:after="240" w:line="336" w:lineRule="auto"/>
    </w:pPr>
    <w:rPr>
      <w:rFonts w:ascii="Arial" w:hAnsi="Arial"/>
      <w:color w:val="0D0D0D" w:themeColor="text1" w:themeTint="F2"/>
      <w:sz w:val="24"/>
      <w:szCs w:val="24"/>
    </w:rPr>
  </w:style>
  <w:style w:type="paragraph" w:styleId="Heading1">
    <w:name w:val="heading 1"/>
    <w:basedOn w:val="Normal"/>
    <w:next w:val="Normal"/>
    <w:link w:val="Heading1Char"/>
    <w:uiPriority w:val="9"/>
    <w:qFormat/>
    <w:rsid w:val="007D1FD5"/>
    <w:pPr>
      <w:keepNext/>
      <w:keepLines/>
      <w:spacing w:before="480"/>
      <w:outlineLvl w:val="0"/>
    </w:pPr>
    <w:rPr>
      <w:rFonts w:eastAsiaTheme="majorEastAsia" w:cs="Arial"/>
      <w:b/>
      <w:bCs/>
      <w:color w:val="auto"/>
      <w:sz w:val="36"/>
      <w:szCs w:val="28"/>
    </w:rPr>
  </w:style>
  <w:style w:type="paragraph" w:styleId="Heading2">
    <w:name w:val="heading 2"/>
    <w:basedOn w:val="Normal"/>
    <w:next w:val="Normal"/>
    <w:link w:val="Heading2Char"/>
    <w:uiPriority w:val="9"/>
    <w:qFormat/>
    <w:rsid w:val="007D1FD5"/>
    <w:pPr>
      <w:keepNext/>
      <w:keepLines/>
      <w:spacing w:before="480"/>
      <w:outlineLvl w:val="1"/>
    </w:pPr>
    <w:rPr>
      <w:rFonts w:eastAsiaTheme="majorEastAsia" w:cs="Arial"/>
      <w:b/>
      <w:bCs/>
      <w:color w:val="auto"/>
      <w:sz w:val="32"/>
      <w:szCs w:val="26"/>
    </w:rPr>
  </w:style>
  <w:style w:type="paragraph" w:styleId="Heading3">
    <w:name w:val="heading 3"/>
    <w:basedOn w:val="Normal"/>
    <w:next w:val="Normal"/>
    <w:link w:val="Heading3Char"/>
    <w:uiPriority w:val="9"/>
    <w:qFormat/>
    <w:rsid w:val="007D1FD5"/>
    <w:pPr>
      <w:keepNext/>
      <w:keepLines/>
      <w:spacing w:before="480"/>
      <w:outlineLvl w:val="2"/>
    </w:pPr>
    <w:rPr>
      <w:rFonts w:eastAsiaTheme="majorEastAsia" w:cs="Arial"/>
      <w:b/>
      <w:bCs/>
      <w:color w:val="auto"/>
      <w:sz w:val="28"/>
    </w:rPr>
  </w:style>
  <w:style w:type="paragraph" w:styleId="Heading4">
    <w:name w:val="heading 4"/>
    <w:basedOn w:val="Normal"/>
    <w:next w:val="Normal"/>
    <w:link w:val="Heading4Char"/>
    <w:uiPriority w:val="9"/>
    <w:qFormat/>
    <w:rsid w:val="007D1FD5"/>
    <w:pPr>
      <w:keepNext/>
      <w:keepLines/>
      <w:spacing w:before="480"/>
      <w:outlineLvl w:val="3"/>
    </w:pPr>
    <w:rPr>
      <w:rFonts w:eastAsiaTheme="majorEastAsia" w:cs="Arial"/>
      <w:b/>
      <w:bCs/>
      <w:iCs/>
      <w:color w:val="auto"/>
    </w:rPr>
  </w:style>
  <w:style w:type="paragraph" w:styleId="Heading5">
    <w:name w:val="heading 5"/>
    <w:basedOn w:val="Normal"/>
    <w:next w:val="Normal"/>
    <w:link w:val="Heading5Char"/>
    <w:uiPriority w:val="9"/>
    <w:semiHidden/>
    <w:unhideWhenUsed/>
    <w:qFormat/>
    <w:rsid w:val="007D1FD5"/>
    <w:pPr>
      <w:keepNext/>
      <w:keepLines/>
      <w:spacing w:before="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D1FD5"/>
    <w:pPr>
      <w:keepNext/>
      <w:keepLines/>
      <w:spacing w:before="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D1FD5"/>
    <w:pPr>
      <w:keepNext/>
      <w:keepLines/>
      <w:spacing w:before="200" w:line="276"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D1FD5"/>
    <w:pPr>
      <w:keepNext/>
      <w:keepLines/>
      <w:spacing w:before="20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D1FD5"/>
    <w:pPr>
      <w:keepNext/>
      <w:keepLines/>
      <w:spacing w:before="200" w:line="276" w:lineRule="auto"/>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D5"/>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7D1FD5"/>
    <w:rPr>
      <w:rFonts w:ascii="Arial" w:eastAsiaTheme="majorEastAsia" w:hAnsi="Arial" w:cs="Arial"/>
      <w:b/>
      <w:bCs/>
      <w:sz w:val="32"/>
      <w:szCs w:val="26"/>
    </w:rPr>
  </w:style>
  <w:style w:type="character" w:customStyle="1" w:styleId="Heading3Char">
    <w:name w:val="Heading 3 Char"/>
    <w:basedOn w:val="DefaultParagraphFont"/>
    <w:link w:val="Heading3"/>
    <w:uiPriority w:val="9"/>
    <w:rsid w:val="007D1FD5"/>
    <w:rPr>
      <w:rFonts w:ascii="Arial" w:eastAsiaTheme="majorEastAsia" w:hAnsi="Arial" w:cs="Arial"/>
      <w:b/>
      <w:bCs/>
      <w:sz w:val="28"/>
      <w:szCs w:val="24"/>
    </w:rPr>
  </w:style>
  <w:style w:type="character" w:customStyle="1" w:styleId="Heading4Char">
    <w:name w:val="Heading 4 Char"/>
    <w:basedOn w:val="DefaultParagraphFont"/>
    <w:link w:val="Heading4"/>
    <w:uiPriority w:val="9"/>
    <w:rsid w:val="007D1FD5"/>
    <w:rPr>
      <w:rFonts w:ascii="Arial" w:eastAsiaTheme="majorEastAsia" w:hAnsi="Arial" w:cs="Arial"/>
      <w:b/>
      <w:bCs/>
      <w:iCs/>
      <w:sz w:val="24"/>
      <w:szCs w:val="24"/>
    </w:rPr>
  </w:style>
  <w:style w:type="paragraph" w:styleId="Title">
    <w:name w:val="Title"/>
    <w:basedOn w:val="Normal"/>
    <w:next w:val="Normal"/>
    <w:link w:val="TitleChar"/>
    <w:uiPriority w:val="10"/>
    <w:qFormat/>
    <w:rsid w:val="007D1FD5"/>
    <w:pPr>
      <w:spacing w:before="480" w:line="360" w:lineRule="auto"/>
      <w:contextualSpacing/>
    </w:pPr>
    <w:rPr>
      <w:rFonts w:eastAsiaTheme="majorEastAsia" w:cs="Arial"/>
      <w:b/>
      <w:bCs/>
      <w:color w:val="auto"/>
      <w:spacing w:val="5"/>
      <w:kern w:val="28"/>
      <w:sz w:val="48"/>
      <w:szCs w:val="52"/>
    </w:rPr>
  </w:style>
  <w:style w:type="character" w:customStyle="1" w:styleId="TitleChar">
    <w:name w:val="Title Char"/>
    <w:basedOn w:val="DefaultParagraphFont"/>
    <w:link w:val="Title"/>
    <w:uiPriority w:val="10"/>
    <w:rsid w:val="007D1FD5"/>
    <w:rPr>
      <w:rFonts w:ascii="Arial" w:eastAsiaTheme="majorEastAsia" w:hAnsi="Arial" w:cs="Arial"/>
      <w:b/>
      <w:bCs/>
      <w:spacing w:val="5"/>
      <w:kern w:val="28"/>
      <w:sz w:val="48"/>
      <w:szCs w:val="52"/>
    </w:rPr>
  </w:style>
  <w:style w:type="paragraph" w:styleId="ListParagraph">
    <w:name w:val="List Paragraph"/>
    <w:aliases w:val="List Bullets"/>
    <w:basedOn w:val="Normal"/>
    <w:link w:val="ListParagraphChar"/>
    <w:uiPriority w:val="34"/>
    <w:qFormat/>
    <w:rsid w:val="007D1FD5"/>
    <w:pPr>
      <w:numPr>
        <w:numId w:val="11"/>
      </w:numPr>
      <w:spacing w:line="360" w:lineRule="auto"/>
      <w:contextualSpacing/>
    </w:pPr>
  </w:style>
  <w:style w:type="character" w:customStyle="1" w:styleId="ListParagraphChar">
    <w:name w:val="List Paragraph Char"/>
    <w:aliases w:val="List Bullets Char"/>
    <w:basedOn w:val="DefaultParagraphFont"/>
    <w:link w:val="ListParagraph"/>
    <w:uiPriority w:val="34"/>
    <w:rsid w:val="00661012"/>
    <w:rPr>
      <w:rFonts w:ascii="Arial" w:hAnsi="Arial"/>
      <w:color w:val="0D0D0D" w:themeColor="text1" w:themeTint="F2"/>
      <w:sz w:val="24"/>
      <w:szCs w:val="24"/>
    </w:rPr>
  </w:style>
  <w:style w:type="paragraph" w:styleId="NoSpacing">
    <w:name w:val="No Spacing"/>
    <w:basedOn w:val="Normal"/>
    <w:link w:val="NoSpacingChar"/>
    <w:uiPriority w:val="1"/>
    <w:qFormat/>
    <w:rsid w:val="007D1FD5"/>
  </w:style>
  <w:style w:type="character" w:customStyle="1" w:styleId="NoSpacingChar">
    <w:name w:val="No Spacing Char"/>
    <w:basedOn w:val="DefaultParagraphFont"/>
    <w:link w:val="NoSpacing"/>
    <w:uiPriority w:val="1"/>
    <w:rsid w:val="007D1FD5"/>
    <w:rPr>
      <w:rFonts w:ascii="Arial" w:hAnsi="Arial"/>
      <w:color w:val="0D0D0D" w:themeColor="text1" w:themeTint="F2"/>
      <w:sz w:val="24"/>
      <w:szCs w:val="24"/>
    </w:rPr>
  </w:style>
  <w:style w:type="table" w:styleId="GridTable1Light">
    <w:name w:val="Grid Table 1 Light"/>
    <w:basedOn w:val="TableNormal"/>
    <w:uiPriority w:val="46"/>
    <w:rsid w:val="001A02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rsid w:val="001A020E"/>
    <w:rPr>
      <w:color w:val="0000FF"/>
      <w:u w:val="single"/>
    </w:rPr>
  </w:style>
  <w:style w:type="character" w:customStyle="1" w:styleId="Heading5Char">
    <w:name w:val="Heading 5 Char"/>
    <w:basedOn w:val="DefaultParagraphFont"/>
    <w:link w:val="Heading5"/>
    <w:uiPriority w:val="9"/>
    <w:semiHidden/>
    <w:rsid w:val="007D1FD5"/>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7D1FD5"/>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7D1FD5"/>
    <w:rPr>
      <w:rFonts w:asciiTheme="majorHAnsi" w:eastAsiaTheme="majorEastAsia" w:hAnsiTheme="majorHAnsi" w:cstheme="majorBidi"/>
      <w:i/>
      <w:iCs/>
      <w:color w:val="0D0D0D" w:themeColor="text1" w:themeTint="F2"/>
      <w:sz w:val="24"/>
      <w:szCs w:val="24"/>
    </w:rPr>
  </w:style>
  <w:style w:type="character" w:customStyle="1" w:styleId="Heading8Char">
    <w:name w:val="Heading 8 Char"/>
    <w:basedOn w:val="DefaultParagraphFont"/>
    <w:link w:val="Heading8"/>
    <w:uiPriority w:val="9"/>
    <w:semiHidden/>
    <w:rsid w:val="007D1FD5"/>
    <w:rPr>
      <w:rFonts w:asciiTheme="majorHAnsi" w:eastAsiaTheme="majorEastAsia" w:hAnsiTheme="majorHAnsi" w:cstheme="majorBidi"/>
      <w:color w:val="0D0D0D" w:themeColor="text1" w:themeTint="F2"/>
      <w:sz w:val="20"/>
      <w:szCs w:val="20"/>
    </w:rPr>
  </w:style>
  <w:style w:type="character" w:customStyle="1" w:styleId="Heading9Char">
    <w:name w:val="Heading 9 Char"/>
    <w:basedOn w:val="DefaultParagraphFont"/>
    <w:link w:val="Heading9"/>
    <w:uiPriority w:val="9"/>
    <w:semiHidden/>
    <w:rsid w:val="007D1FD5"/>
    <w:rPr>
      <w:rFonts w:asciiTheme="majorHAnsi" w:eastAsiaTheme="majorEastAsia" w:hAnsiTheme="majorHAnsi" w:cstheme="majorBidi"/>
      <w:i/>
      <w:iCs/>
      <w:color w:val="0D0D0D" w:themeColor="text1" w:themeTint="F2"/>
      <w:sz w:val="20"/>
      <w:szCs w:val="20"/>
    </w:rPr>
  </w:style>
  <w:style w:type="paragraph" w:styleId="Caption">
    <w:name w:val="caption"/>
    <w:basedOn w:val="Normal"/>
    <w:next w:val="Normal"/>
    <w:uiPriority w:val="35"/>
    <w:semiHidden/>
    <w:unhideWhenUsed/>
    <w:qFormat/>
    <w:rsid w:val="007D1FD5"/>
    <w:pPr>
      <w:spacing w:after="200"/>
    </w:pPr>
    <w:rPr>
      <w:b/>
      <w:bCs/>
      <w:color w:val="4472C4" w:themeColor="accent1"/>
      <w:sz w:val="18"/>
      <w:szCs w:val="18"/>
    </w:rPr>
  </w:style>
  <w:style w:type="paragraph" w:styleId="Subtitle">
    <w:name w:val="Subtitle"/>
    <w:basedOn w:val="Normal"/>
    <w:next w:val="Normal"/>
    <w:link w:val="SubtitleChar"/>
    <w:uiPriority w:val="11"/>
    <w:qFormat/>
    <w:rsid w:val="007D1FD5"/>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7D1FD5"/>
    <w:rPr>
      <w:rFonts w:asciiTheme="majorHAnsi" w:eastAsiaTheme="majorEastAsia" w:hAnsiTheme="majorHAnsi" w:cstheme="majorBidi"/>
      <w:i/>
      <w:iCs/>
      <w:color w:val="4472C4" w:themeColor="accent1"/>
      <w:spacing w:val="15"/>
      <w:sz w:val="24"/>
      <w:szCs w:val="24"/>
    </w:rPr>
  </w:style>
  <w:style w:type="character" w:styleId="Strong">
    <w:name w:val="Strong"/>
    <w:uiPriority w:val="22"/>
    <w:qFormat/>
    <w:rsid w:val="007D1FD5"/>
    <w:rPr>
      <w:b/>
      <w:bCs/>
    </w:rPr>
  </w:style>
  <w:style w:type="character" w:styleId="Emphasis">
    <w:name w:val="Emphasis"/>
    <w:uiPriority w:val="20"/>
    <w:qFormat/>
    <w:rsid w:val="007D1FD5"/>
    <w:rPr>
      <w:i/>
      <w:iCs/>
    </w:rPr>
  </w:style>
  <w:style w:type="paragraph" w:styleId="Quote">
    <w:name w:val="Quote"/>
    <w:basedOn w:val="Normal"/>
    <w:next w:val="Normal"/>
    <w:link w:val="QuoteChar"/>
    <w:uiPriority w:val="29"/>
    <w:qFormat/>
    <w:rsid w:val="007D1FD5"/>
    <w:pPr>
      <w:spacing w:after="200" w:line="276" w:lineRule="auto"/>
    </w:pPr>
    <w:rPr>
      <w:i/>
      <w:iCs/>
      <w:color w:val="000000" w:themeColor="text1"/>
    </w:rPr>
  </w:style>
  <w:style w:type="character" w:customStyle="1" w:styleId="QuoteChar">
    <w:name w:val="Quote Char"/>
    <w:basedOn w:val="DefaultParagraphFont"/>
    <w:link w:val="Quote"/>
    <w:uiPriority w:val="29"/>
    <w:rsid w:val="007D1FD5"/>
    <w:rPr>
      <w:rFonts w:ascii="Arial" w:hAnsi="Arial"/>
      <w:i/>
      <w:iCs/>
      <w:color w:val="000000" w:themeColor="text1"/>
      <w:sz w:val="24"/>
      <w:szCs w:val="24"/>
    </w:rPr>
  </w:style>
  <w:style w:type="paragraph" w:styleId="IntenseQuote">
    <w:name w:val="Intense Quote"/>
    <w:basedOn w:val="Normal"/>
    <w:next w:val="Normal"/>
    <w:link w:val="IntenseQuoteChar"/>
    <w:uiPriority w:val="30"/>
    <w:qFormat/>
    <w:rsid w:val="007D1FD5"/>
    <w:pPr>
      <w:pBdr>
        <w:bottom w:val="single" w:sz="4" w:space="4" w:color="4472C4" w:themeColor="accent1"/>
      </w:pBdr>
      <w:spacing w:before="200" w:after="280" w:line="276" w:lineRule="auto"/>
      <w:ind w:left="936" w:right="936"/>
    </w:pPr>
    <w:rPr>
      <w:b/>
      <w:bCs/>
      <w:i/>
      <w:iCs/>
      <w:color w:val="4472C4" w:themeColor="accent1"/>
    </w:rPr>
  </w:style>
  <w:style w:type="character" w:customStyle="1" w:styleId="IntenseQuoteChar">
    <w:name w:val="Intense Quote Char"/>
    <w:basedOn w:val="DefaultParagraphFont"/>
    <w:link w:val="IntenseQuote"/>
    <w:uiPriority w:val="30"/>
    <w:rsid w:val="007D1FD5"/>
    <w:rPr>
      <w:rFonts w:ascii="Arial" w:hAnsi="Arial"/>
      <w:b/>
      <w:bCs/>
      <w:i/>
      <w:iCs/>
      <w:color w:val="4472C4" w:themeColor="accent1"/>
      <w:sz w:val="24"/>
      <w:szCs w:val="24"/>
    </w:rPr>
  </w:style>
  <w:style w:type="character" w:styleId="SubtleEmphasis">
    <w:name w:val="Subtle Emphasis"/>
    <w:uiPriority w:val="19"/>
    <w:qFormat/>
    <w:rsid w:val="007D1FD5"/>
    <w:rPr>
      <w:i/>
      <w:iCs/>
      <w:color w:val="808080" w:themeColor="text1" w:themeTint="7F"/>
    </w:rPr>
  </w:style>
  <w:style w:type="character" w:styleId="IntenseEmphasis">
    <w:name w:val="Intense Emphasis"/>
    <w:uiPriority w:val="21"/>
    <w:qFormat/>
    <w:rsid w:val="007D1FD5"/>
    <w:rPr>
      <w:b/>
      <w:bCs/>
      <w:i/>
      <w:iCs/>
      <w:color w:val="4472C4" w:themeColor="accent1"/>
    </w:rPr>
  </w:style>
  <w:style w:type="character" w:styleId="SubtleReference">
    <w:name w:val="Subtle Reference"/>
    <w:uiPriority w:val="31"/>
    <w:qFormat/>
    <w:rsid w:val="007D1FD5"/>
    <w:rPr>
      <w:smallCaps/>
      <w:color w:val="ED7D31" w:themeColor="accent2"/>
      <w:u w:val="single"/>
    </w:rPr>
  </w:style>
  <w:style w:type="character" w:styleId="IntenseReference">
    <w:name w:val="Intense Reference"/>
    <w:uiPriority w:val="32"/>
    <w:qFormat/>
    <w:rsid w:val="007D1FD5"/>
    <w:rPr>
      <w:b/>
      <w:bCs/>
      <w:smallCaps/>
      <w:color w:val="ED7D31" w:themeColor="accent2"/>
      <w:spacing w:val="5"/>
      <w:u w:val="single"/>
    </w:rPr>
  </w:style>
  <w:style w:type="character" w:styleId="BookTitle">
    <w:name w:val="Book Title"/>
    <w:uiPriority w:val="33"/>
    <w:qFormat/>
    <w:rsid w:val="007D1FD5"/>
    <w:rPr>
      <w:b/>
      <w:bCs/>
      <w:smallCaps/>
      <w:spacing w:val="5"/>
    </w:rPr>
  </w:style>
  <w:style w:type="paragraph" w:styleId="TOCHeading">
    <w:name w:val="TOC Heading"/>
    <w:basedOn w:val="Heading1"/>
    <w:next w:val="Normal"/>
    <w:uiPriority w:val="39"/>
    <w:semiHidden/>
    <w:unhideWhenUsed/>
    <w:qFormat/>
    <w:rsid w:val="007D1FD5"/>
    <w:pPr>
      <w:outlineLvl w:val="9"/>
    </w:pPr>
    <w:rPr>
      <w:rFonts w:asciiTheme="majorHAnsi" w:hAnsiTheme="majorHAnsi"/>
      <w:sz w:val="28"/>
    </w:rPr>
  </w:style>
  <w:style w:type="paragraph" w:customStyle="1" w:styleId="Default">
    <w:name w:val="Default"/>
    <w:rsid w:val="00C143E8"/>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C1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BB6"/>
    <w:rPr>
      <w:rFonts w:ascii="Arial" w:hAnsi="Arial"/>
      <w:color w:val="0D0D0D" w:themeColor="text1" w:themeTint="F2"/>
      <w:sz w:val="24"/>
      <w:szCs w:val="24"/>
    </w:rPr>
  </w:style>
  <w:style w:type="paragraph" w:styleId="Footer">
    <w:name w:val="footer"/>
    <w:basedOn w:val="Normal"/>
    <w:link w:val="FooterChar"/>
    <w:uiPriority w:val="99"/>
    <w:unhideWhenUsed/>
    <w:rsid w:val="00BB4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BB6"/>
    <w:rPr>
      <w:rFonts w:ascii="Arial" w:hAnsi="Arial"/>
      <w:color w:val="0D0D0D" w:themeColor="text1" w:themeTint="F2"/>
      <w:sz w:val="24"/>
      <w:szCs w:val="24"/>
    </w:rPr>
  </w:style>
  <w:style w:type="character" w:styleId="UnresolvedMention">
    <w:name w:val="Unresolved Mention"/>
    <w:basedOn w:val="DefaultParagraphFont"/>
    <w:uiPriority w:val="99"/>
    <w:semiHidden/>
    <w:unhideWhenUsed/>
    <w:rsid w:val="00267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2018/12/contents/enacted" TargetMode="External"/><Relationship Id="rId18" Type="http://schemas.openxmlformats.org/officeDocument/2006/relationships/hyperlink" Target="https://intranet/Interact/Pages/Content/Document.aspx?id=13458&amp;utm_source=interact&amp;utm_medium=quick_search&amp;utm_term=soter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se.gov.uk/legislation/" TargetMode="External"/><Relationship Id="rId17" Type="http://schemas.openxmlformats.org/officeDocument/2006/relationships/hyperlink" Target="https://intranet/Interact/Pages/Content/Document.aspx?id=13458&amp;utm_source=interact&amp;utm_medium=quick_search&amp;utm_term=soteria" TargetMode="External"/><Relationship Id="rId25" Type="http://schemas.openxmlformats.org/officeDocument/2006/relationships/hyperlink" Target="mailto:reid.martin@lincs.police.uk" TargetMode="External"/><Relationship Id="rId2" Type="http://schemas.openxmlformats.org/officeDocument/2006/relationships/numbering" Target="numbering.xml"/><Relationship Id="rId16" Type="http://schemas.openxmlformats.org/officeDocument/2006/relationships/hyperlink" Target="http://library.college.police.uk/docs/acpo/Guidance-Investigating-Prosecuting-Rape-(Abridged-Edition)-201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7/content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pp.college.police.uk/app-content/major-investigation-and-public-protection/rape-and-sexual-offences/" TargetMode="External"/><Relationship Id="rId23" Type="http://schemas.openxmlformats.org/officeDocument/2006/relationships/header" Target="header3.xml"/><Relationship Id="rId10" Type="http://schemas.openxmlformats.org/officeDocument/2006/relationships/hyperlink" Target="http://www.legislation.gov.uk/ukpga/2010/15/cont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1998/42/schedule/1/part/I/chapter/12" TargetMode="External"/><Relationship Id="rId14" Type="http://schemas.openxmlformats.org/officeDocument/2006/relationships/hyperlink" Target="http://www.legislation.gov.uk/ukpga/2000/36/content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F5AC-FE67-4567-B94B-2D3EF73B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Covert surveillance authorities policy PD 74</vt:lpstr>
    </vt:vector>
  </TitlesOfParts>
  <Company>Lincolnshire Police</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investigation policy PD 176</dc:title>
  <dc:subject/>
  <dc:creator>david.hull@lincs.police.uk</dc:creator>
  <cp:keywords/>
  <dc:description/>
  <cp:lastModifiedBy>Jacquest, Michael</cp:lastModifiedBy>
  <cp:revision>3</cp:revision>
  <dcterms:created xsi:type="dcterms:W3CDTF">2023-11-14T09:32:00Z</dcterms:created>
  <dcterms:modified xsi:type="dcterms:W3CDTF">2023-11-14T10:51:00Z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2023-06-06T14:49:29Z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87353cf4-3757-4092-9fda-78640e7f5d95</vt:lpwstr>
  </property>
  <property fmtid="{D5CDD505-2E9C-101B-9397-08002B2CF9AE}" pid="8" name="MSIP_Label_cd7679a8-b296-4807-8cee-66cc2d806f92_ContentBits">
    <vt:lpwstr>0</vt:lpwstr>
  </property>
</Properties>
</file>