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6FAB4219">
            <wp:extent cx="2409825" cy="2409825"/>
            <wp:effectExtent l="0" t="0" r="0" b="0"/>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inline>
        </w:drawing>
      </w:r>
    </w:p>
    <w:p w14:paraId="482AF218" w14:textId="2D22A29F" w:rsidR="001A020E" w:rsidRDefault="00B77C2E" w:rsidP="007D1FD5">
      <w:pPr>
        <w:pStyle w:val="Heading1"/>
        <w:jc w:val="center"/>
      </w:pPr>
      <w:r w:rsidRPr="00B77C2E">
        <w:t xml:space="preserve">Chemical, </w:t>
      </w:r>
      <w:r>
        <w:t>b</w:t>
      </w:r>
      <w:r w:rsidRPr="00B77C2E">
        <w:t xml:space="preserve">iological, </w:t>
      </w:r>
      <w:proofErr w:type="gramStart"/>
      <w:r>
        <w:t>r</w:t>
      </w:r>
      <w:r w:rsidRPr="00B77C2E">
        <w:t>adiological</w:t>
      </w:r>
      <w:proofErr w:type="gramEnd"/>
      <w:r>
        <w:t xml:space="preserve"> and n</w:t>
      </w:r>
      <w:r w:rsidRPr="00B77C2E">
        <w:t xml:space="preserve">uclear (CBRN) </w:t>
      </w:r>
      <w:r>
        <w:t>p</w:t>
      </w:r>
      <w:r w:rsidRPr="00B77C2E">
        <w:t>olicy PD 94</w:t>
      </w:r>
    </w:p>
    <w:p w14:paraId="28280CE9" w14:textId="77777777" w:rsidR="001A020E" w:rsidRDefault="001A020E" w:rsidP="001A020E">
      <w:pPr>
        <w:pStyle w:val="Heading2"/>
      </w:pPr>
      <w:r>
        <w:t>Policy document information</w:t>
      </w:r>
    </w:p>
    <w:p w14:paraId="238400B7" w14:textId="20D491DE" w:rsidR="001A020E" w:rsidRDefault="001A020E" w:rsidP="001A020E">
      <w:pPr>
        <w:tabs>
          <w:tab w:val="left" w:pos="2835"/>
        </w:tabs>
      </w:pPr>
      <w:r w:rsidRPr="0090198B">
        <w:rPr>
          <w:b/>
          <w:bCs/>
        </w:rPr>
        <w:t>Reference number</w:t>
      </w:r>
      <w:r>
        <w:t>:</w:t>
      </w:r>
      <w:r w:rsidR="0051530F">
        <w:tab/>
      </w:r>
      <w:r w:rsidR="00DF7EE1">
        <w:t>PD 94</w:t>
      </w:r>
    </w:p>
    <w:p w14:paraId="1A1C3D8E" w14:textId="7D4C6852" w:rsidR="001A020E" w:rsidRDefault="001A020E" w:rsidP="001A020E">
      <w:pPr>
        <w:tabs>
          <w:tab w:val="left" w:pos="2835"/>
        </w:tabs>
      </w:pPr>
      <w:r w:rsidRPr="0090198B">
        <w:rPr>
          <w:b/>
          <w:bCs/>
        </w:rPr>
        <w:t>Policy sponsor</w:t>
      </w:r>
      <w:r>
        <w:t>:</w:t>
      </w:r>
      <w:r w:rsidR="00DF7EE1">
        <w:tab/>
        <w:t>ACC</w:t>
      </w:r>
    </w:p>
    <w:p w14:paraId="48723898" w14:textId="08292F3E" w:rsidR="001A020E" w:rsidRDefault="001A020E" w:rsidP="001A020E">
      <w:pPr>
        <w:tabs>
          <w:tab w:val="left" w:pos="2835"/>
        </w:tabs>
      </w:pPr>
      <w:r w:rsidRPr="0090198B">
        <w:rPr>
          <w:b/>
          <w:bCs/>
        </w:rPr>
        <w:t>Policy owner</w:t>
      </w:r>
      <w:r>
        <w:t>:</w:t>
      </w:r>
      <w:r w:rsidR="00DF7EE1">
        <w:tab/>
      </w:r>
      <w:r w:rsidR="00DF7EE1" w:rsidRPr="00F6196E">
        <w:rPr>
          <w:rFonts w:eastAsia="Times New Roman" w:cs="Arial"/>
          <w:iCs/>
          <w:szCs w:val="20"/>
        </w:rPr>
        <w:t>Head of Specialist Operations – C/Supt Paul Timmins</w:t>
      </w:r>
    </w:p>
    <w:p w14:paraId="60F1E80C" w14:textId="16EF9E62" w:rsidR="001A020E" w:rsidRDefault="001A020E" w:rsidP="001A020E">
      <w:pPr>
        <w:tabs>
          <w:tab w:val="left" w:pos="2835"/>
        </w:tabs>
      </w:pPr>
      <w:r w:rsidRPr="0090198B">
        <w:rPr>
          <w:b/>
          <w:bCs/>
        </w:rPr>
        <w:t>Author</w:t>
      </w:r>
      <w:r>
        <w:t>:</w:t>
      </w:r>
      <w:r w:rsidR="00DF7EE1">
        <w:tab/>
        <w:t>CBRN Coordinator – PC Jeff Sibson</w:t>
      </w:r>
    </w:p>
    <w:p w14:paraId="3B60037B" w14:textId="2AEC3151" w:rsidR="001A020E" w:rsidRDefault="001A020E" w:rsidP="001A020E">
      <w:pPr>
        <w:tabs>
          <w:tab w:val="left" w:pos="2835"/>
        </w:tabs>
      </w:pPr>
      <w:r w:rsidRPr="0090198B">
        <w:rPr>
          <w:b/>
          <w:bCs/>
        </w:rPr>
        <w:t>Publication date</w:t>
      </w:r>
      <w:r>
        <w:t>:</w:t>
      </w:r>
      <w:r w:rsidR="00DF7EE1">
        <w:tab/>
      </w:r>
      <w:r w:rsidR="00DF7EE1" w:rsidRPr="00F6196E">
        <w:rPr>
          <w:rFonts w:cs="Arial"/>
        </w:rPr>
        <w:t>June 202</w:t>
      </w:r>
      <w:r w:rsidR="00D4432B">
        <w:rPr>
          <w:rFonts w:cs="Arial"/>
        </w:rPr>
        <w:t>4</w:t>
      </w:r>
    </w:p>
    <w:p w14:paraId="0CD292D2" w14:textId="49757A1A" w:rsidR="001048D3" w:rsidRDefault="001048D3" w:rsidP="001A020E">
      <w:pPr>
        <w:tabs>
          <w:tab w:val="left" w:pos="2835"/>
        </w:tabs>
      </w:pPr>
      <w:r w:rsidRPr="0090198B">
        <w:rPr>
          <w:b/>
          <w:bCs/>
        </w:rPr>
        <w:t>Review date</w:t>
      </w:r>
      <w:r>
        <w:t>:</w:t>
      </w:r>
      <w:r w:rsidR="00DF7EE1">
        <w:tab/>
      </w:r>
      <w:r w:rsidR="00DF7EE1" w:rsidRPr="00F6196E">
        <w:rPr>
          <w:rFonts w:cs="Arial"/>
        </w:rPr>
        <w:t>June 202</w:t>
      </w:r>
      <w:r w:rsidR="00D4432B">
        <w:rPr>
          <w:rFonts w:cs="Arial"/>
        </w:rPr>
        <w:t>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DF7EE1" w14:paraId="21C082C0"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5C8B374B" w14:textId="61F8EA63" w:rsidR="00DF7EE1" w:rsidRPr="00DF7EE1" w:rsidRDefault="00DF7EE1" w:rsidP="00DF7EE1">
            <w:pPr>
              <w:pStyle w:val="NoSpacing"/>
              <w:rPr>
                <w:rFonts w:cs="Arial"/>
                <w:b w:val="0"/>
                <w:bCs w:val="0"/>
              </w:rPr>
            </w:pPr>
            <w:r w:rsidRPr="00DF7EE1">
              <w:rPr>
                <w:rFonts w:eastAsia="Times New Roman" w:cs="Arial"/>
                <w:b w:val="0"/>
                <w:bCs w:val="0"/>
                <w:iCs/>
                <w:szCs w:val="20"/>
              </w:rPr>
              <w:t>6</w:t>
            </w:r>
          </w:p>
        </w:tc>
        <w:tc>
          <w:tcPr>
            <w:tcW w:w="2045" w:type="dxa"/>
          </w:tcPr>
          <w:p w14:paraId="63D5221E" w14:textId="2544CBBB"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sidRPr="00F6196E">
              <w:rPr>
                <w:rFonts w:eastAsia="Times New Roman" w:cs="Arial"/>
                <w:iCs/>
                <w:szCs w:val="20"/>
              </w:rPr>
              <w:t>June 2018</w:t>
            </w:r>
          </w:p>
        </w:tc>
        <w:tc>
          <w:tcPr>
            <w:tcW w:w="5416" w:type="dxa"/>
          </w:tcPr>
          <w:p w14:paraId="028ACBFE" w14:textId="5B4890C2"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sidRPr="00F6196E">
              <w:rPr>
                <w:rFonts w:eastAsia="Times New Roman" w:cs="Arial"/>
                <w:iCs/>
                <w:szCs w:val="20"/>
              </w:rPr>
              <w:t>Biennial Review</w:t>
            </w:r>
          </w:p>
        </w:tc>
      </w:tr>
      <w:tr w:rsidR="00DF7EE1"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09E65BCA" w:rsidR="00DF7EE1" w:rsidRPr="00DF7EE1" w:rsidRDefault="00DF7EE1" w:rsidP="00DF7EE1">
            <w:pPr>
              <w:pStyle w:val="NoSpacing"/>
              <w:rPr>
                <w:rFonts w:cs="Arial"/>
                <w:b w:val="0"/>
                <w:bCs w:val="0"/>
              </w:rPr>
            </w:pPr>
            <w:r w:rsidRPr="00DF7EE1">
              <w:rPr>
                <w:rFonts w:eastAsia="Times New Roman" w:cs="Arial"/>
                <w:b w:val="0"/>
                <w:bCs w:val="0"/>
                <w:iCs/>
                <w:szCs w:val="20"/>
              </w:rPr>
              <w:t>7</w:t>
            </w:r>
          </w:p>
        </w:tc>
        <w:tc>
          <w:tcPr>
            <w:tcW w:w="2045" w:type="dxa"/>
          </w:tcPr>
          <w:p w14:paraId="33B751D4" w14:textId="655C0AC7"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eastAsia="Times New Roman" w:cs="Arial"/>
                <w:iCs/>
                <w:szCs w:val="20"/>
              </w:rPr>
              <w:t>June 2020</w:t>
            </w:r>
          </w:p>
        </w:tc>
        <w:tc>
          <w:tcPr>
            <w:tcW w:w="5416" w:type="dxa"/>
          </w:tcPr>
          <w:p w14:paraId="1ACB0DF5" w14:textId="17166F8E"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sidRPr="00F6196E">
              <w:rPr>
                <w:rFonts w:eastAsia="Times New Roman" w:cs="Arial"/>
                <w:iCs/>
                <w:szCs w:val="20"/>
              </w:rPr>
              <w:t>Biennial Review</w:t>
            </w:r>
          </w:p>
        </w:tc>
      </w:tr>
      <w:tr w:rsidR="00DF7EE1"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52C24658" w:rsidR="00DF7EE1" w:rsidRPr="00DF7EE1" w:rsidRDefault="00DF7EE1" w:rsidP="00DF7EE1">
            <w:pPr>
              <w:pStyle w:val="NoSpacing"/>
              <w:rPr>
                <w:rFonts w:cs="Arial"/>
                <w:b w:val="0"/>
                <w:bCs w:val="0"/>
              </w:rPr>
            </w:pPr>
            <w:r w:rsidRPr="00DF7EE1">
              <w:rPr>
                <w:rFonts w:eastAsia="Times New Roman" w:cs="Arial"/>
                <w:b w:val="0"/>
                <w:bCs w:val="0"/>
                <w:iCs/>
                <w:szCs w:val="20"/>
              </w:rPr>
              <w:t>8</w:t>
            </w:r>
          </w:p>
        </w:tc>
        <w:tc>
          <w:tcPr>
            <w:tcW w:w="2045" w:type="dxa"/>
          </w:tcPr>
          <w:p w14:paraId="43C30CA0" w14:textId="02117ACF"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eastAsia="Times New Roman" w:cs="Arial"/>
                <w:iCs/>
                <w:szCs w:val="20"/>
              </w:rPr>
              <w:t>June 2022</w:t>
            </w:r>
          </w:p>
        </w:tc>
        <w:tc>
          <w:tcPr>
            <w:tcW w:w="5416" w:type="dxa"/>
          </w:tcPr>
          <w:p w14:paraId="2CC841A6" w14:textId="73A10CB2"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eastAsia="Times New Roman" w:cs="Arial"/>
                <w:iCs/>
                <w:szCs w:val="20"/>
              </w:rPr>
              <w:t>Biennial Review</w:t>
            </w:r>
          </w:p>
        </w:tc>
      </w:tr>
      <w:tr w:rsidR="00DF7EE1" w14:paraId="65116E97"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0F9E2F02" w14:textId="3CBB62CB" w:rsidR="00DF7EE1" w:rsidRPr="00DF7EE1" w:rsidRDefault="00ED6DA6" w:rsidP="00DF7EE1">
            <w:pPr>
              <w:pStyle w:val="NoSpacing"/>
              <w:rPr>
                <w:rFonts w:cs="Arial"/>
                <w:b w:val="0"/>
                <w:bCs w:val="0"/>
              </w:rPr>
            </w:pPr>
            <w:r>
              <w:rPr>
                <w:rFonts w:cs="Arial"/>
                <w:b w:val="0"/>
                <w:bCs w:val="0"/>
              </w:rPr>
              <w:t>9</w:t>
            </w:r>
          </w:p>
        </w:tc>
        <w:tc>
          <w:tcPr>
            <w:tcW w:w="2045" w:type="dxa"/>
          </w:tcPr>
          <w:p w14:paraId="427E1347" w14:textId="6551208C" w:rsidR="00DF7EE1" w:rsidRPr="001048D3" w:rsidRDefault="00ED6DA6"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May 2024</w:t>
            </w:r>
          </w:p>
        </w:tc>
        <w:tc>
          <w:tcPr>
            <w:tcW w:w="5416" w:type="dxa"/>
          </w:tcPr>
          <w:p w14:paraId="79B6636E" w14:textId="2F9DEFAB" w:rsidR="00DF7EE1" w:rsidRPr="001048D3" w:rsidRDefault="00ED6DA6"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eastAsia="Times New Roman" w:cs="Arial"/>
                <w:iCs/>
                <w:szCs w:val="20"/>
              </w:rPr>
              <w:t>Biennial Review</w:t>
            </w:r>
          </w:p>
        </w:tc>
      </w:tr>
      <w:tr w:rsidR="00DF7EE1" w14:paraId="056E88E3"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8CC8BF7" w14:textId="77777777" w:rsidR="00DF7EE1" w:rsidRPr="001048D3" w:rsidRDefault="00DF7EE1" w:rsidP="00DF7EE1">
            <w:pPr>
              <w:pStyle w:val="NoSpacing"/>
              <w:rPr>
                <w:rFonts w:cs="Arial"/>
                <w:b w:val="0"/>
                <w:bCs w:val="0"/>
              </w:rPr>
            </w:pPr>
          </w:p>
        </w:tc>
        <w:tc>
          <w:tcPr>
            <w:tcW w:w="2045" w:type="dxa"/>
          </w:tcPr>
          <w:p w14:paraId="0A227F44" w14:textId="77777777"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5416" w:type="dxa"/>
          </w:tcPr>
          <w:p w14:paraId="687902D5" w14:textId="77777777" w:rsidR="00DF7EE1" w:rsidRPr="001048D3" w:rsidRDefault="00DF7EE1" w:rsidP="00DF7EE1">
            <w:pPr>
              <w:pStyle w:val="NoSpacing"/>
              <w:cnfStyle w:val="000000000000" w:firstRow="0" w:lastRow="0" w:firstColumn="0" w:lastColumn="0" w:oddVBand="0" w:evenVBand="0" w:oddHBand="0" w:evenHBand="0" w:firstRowFirstColumn="0" w:firstRowLastColumn="0" w:lastRowFirstColumn="0" w:lastRowLastColumn="0"/>
              <w:rPr>
                <w:rFonts w:cs="Arial"/>
              </w:rPr>
            </w:pP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E95A78"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E95A78"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E95A78"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E95A78"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E95A78"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E95A78" w:rsidP="001A020E">
      <w:pPr>
        <w:pStyle w:val="ListParagraph"/>
        <w:numPr>
          <w:ilvl w:val="0"/>
          <w:numId w:val="3"/>
        </w:numPr>
      </w:pPr>
      <w:hyperlink r:id="rId14" w:history="1">
        <w:r w:rsidR="001A020E" w:rsidRPr="008F272F">
          <w:rPr>
            <w:rStyle w:val="Hyperlink"/>
          </w:rPr>
          <w:t>Freedom Of Information Act 2000</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2DBF86C1"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01BA0161"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524F34B1" w14:textId="1027BFE4" w:rsidR="00DF7EE1" w:rsidRDefault="00DF7EE1" w:rsidP="00DF7EE1">
      <w:pPr>
        <w:rPr>
          <w:lang w:eastAsia="en-GB"/>
        </w:rPr>
      </w:pPr>
      <w:r>
        <w:rPr>
          <w:lang w:eastAsia="en-GB"/>
        </w:rPr>
        <w:t>This policy has been checked against APP.  Lincolnshire Police has adopted the APP provisions, with supplementary information contained herein, which reflects local practice and the needs of the communities served by Lincolnshire Police.</w:t>
      </w:r>
    </w:p>
    <w:p w14:paraId="43A54EB4" w14:textId="77777777" w:rsidR="00DF7EE1" w:rsidRDefault="00DF7EE1" w:rsidP="00DF7EE1">
      <w:pPr>
        <w:rPr>
          <w:lang w:eastAsia="en-GB"/>
        </w:rPr>
      </w:pPr>
      <w:r>
        <w:rPr>
          <w:lang w:eastAsia="en-GB"/>
        </w:rPr>
        <w:t>Those provisions are shown in the links below and can be accessed via the home page of the APP website:</w:t>
      </w:r>
    </w:p>
    <w:p w14:paraId="5A6E3509" w14:textId="31C36371" w:rsidR="00DF7EE1" w:rsidRPr="009A56C9" w:rsidRDefault="00E95A78" w:rsidP="00DF7EE1">
      <w:pPr>
        <w:rPr>
          <w:lang w:eastAsia="en-GB"/>
        </w:rPr>
      </w:pPr>
      <w:hyperlink r:id="rId15" w:history="1">
        <w:r w:rsidR="00DF7EE1" w:rsidRPr="00DF7EE1">
          <w:rPr>
            <w:rStyle w:val="Hyperlink"/>
            <w:lang w:eastAsia="en-GB"/>
          </w:rPr>
          <w:t>CBRN on the College of Policing APP website</w:t>
        </w:r>
      </w:hyperlink>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78C0425C" w14:textId="5B618F1B" w:rsidR="00DF7EE1" w:rsidRDefault="00DF7EE1" w:rsidP="0090198B">
      <w:pPr>
        <w:tabs>
          <w:tab w:val="left" w:pos="993"/>
        </w:tabs>
        <w:ind w:left="993" w:hanging="993"/>
        <w:rPr>
          <w:rFonts w:eastAsia="Calibri" w:cs="Times New Roman"/>
          <w:lang w:eastAsia="en-GB"/>
        </w:rPr>
      </w:pPr>
      <w:r>
        <w:rPr>
          <w:rFonts w:eastAsia="Calibri" w:cs="Times New Roman"/>
          <w:lang w:eastAsia="en-GB"/>
        </w:rPr>
        <w:t>1.1.</w:t>
      </w:r>
      <w:r>
        <w:rPr>
          <w:rFonts w:eastAsia="Calibri" w:cs="Times New Roman"/>
          <w:lang w:eastAsia="en-GB"/>
        </w:rPr>
        <w:tab/>
      </w:r>
      <w:r w:rsidRPr="00B63D39">
        <w:rPr>
          <w:rFonts w:eastAsia="Calibri" w:cs="Times New Roman"/>
          <w:lang w:eastAsia="en-GB"/>
        </w:rPr>
        <w:t xml:space="preserve">To ensure Lincolnshire Police maintain appropriate capability to respond to CBRN incidents that may affect the county and meet their commitment to support UK police forces capability to deal with CBRN type incidents as </w:t>
      </w:r>
      <w:r>
        <w:rPr>
          <w:rFonts w:eastAsia="Calibri" w:cs="Times New Roman"/>
          <w:lang w:eastAsia="en-GB"/>
        </w:rPr>
        <w:t xml:space="preserve">required by </w:t>
      </w:r>
      <w:r w:rsidRPr="00B63D39">
        <w:rPr>
          <w:rFonts w:eastAsia="Calibri" w:cs="Times New Roman"/>
          <w:lang w:eastAsia="en-GB"/>
        </w:rPr>
        <w:t xml:space="preserve">the current </w:t>
      </w:r>
      <w:r>
        <w:rPr>
          <w:rFonts w:eastAsia="Calibri" w:cs="Times New Roman"/>
          <w:lang w:eastAsia="en-GB"/>
        </w:rPr>
        <w:t xml:space="preserve">‘UK Government - </w:t>
      </w:r>
      <w:r w:rsidRPr="00B63D39">
        <w:rPr>
          <w:rFonts w:eastAsia="Calibri" w:cs="Times New Roman"/>
          <w:lang w:eastAsia="en-GB"/>
        </w:rPr>
        <w:t>Strategic Policing Requirement</w:t>
      </w:r>
      <w:r>
        <w:rPr>
          <w:rFonts w:eastAsia="Calibri" w:cs="Times New Roman"/>
          <w:lang w:eastAsia="en-GB"/>
        </w:rPr>
        <w:t>’</w:t>
      </w:r>
      <w:r w:rsidRPr="00B63D39">
        <w:rPr>
          <w:rFonts w:eastAsia="Calibri" w:cs="Times New Roman"/>
          <w:lang w:eastAsia="en-GB"/>
        </w:rPr>
        <w:t xml:space="preserve"> document</w:t>
      </w:r>
      <w:r>
        <w:rPr>
          <w:rFonts w:eastAsia="Calibri" w:cs="Times New Roman"/>
          <w:lang w:eastAsia="en-GB"/>
        </w:rPr>
        <w:t>.</w:t>
      </w:r>
    </w:p>
    <w:p w14:paraId="4372AA9B" w14:textId="1A01AD6F" w:rsidR="00ED6DA6" w:rsidRDefault="00ED6DA6" w:rsidP="0090198B">
      <w:pPr>
        <w:tabs>
          <w:tab w:val="left" w:pos="993"/>
        </w:tabs>
        <w:ind w:left="993" w:hanging="993"/>
        <w:rPr>
          <w:lang w:eastAsia="en-GB"/>
        </w:rPr>
      </w:pPr>
      <w:r>
        <w:rPr>
          <w:rFonts w:eastAsia="Calibri" w:cs="Times New Roman"/>
          <w:lang w:eastAsia="en-GB"/>
        </w:rPr>
        <w:t xml:space="preserve">1.2         This policy does not cover Armed Policing response to a CBRN </w:t>
      </w:r>
      <w:proofErr w:type="gramStart"/>
      <w:r>
        <w:rPr>
          <w:rFonts w:eastAsia="Calibri" w:cs="Times New Roman"/>
          <w:lang w:eastAsia="en-GB"/>
        </w:rPr>
        <w:t>incident .</w:t>
      </w:r>
      <w:proofErr w:type="gramEnd"/>
      <w:r>
        <w:rPr>
          <w:rFonts w:eastAsia="Calibri" w:cs="Times New Roman"/>
          <w:lang w:eastAsia="en-GB"/>
        </w:rPr>
        <w:t xml:space="preserve"> That is covered in Armed Policing response document. </w:t>
      </w:r>
    </w:p>
    <w:p w14:paraId="0CC1FA21" w14:textId="2FAC6818" w:rsidR="001A020E" w:rsidRDefault="001A020E" w:rsidP="0090198B">
      <w:pPr>
        <w:pStyle w:val="Heading2"/>
        <w:tabs>
          <w:tab w:val="left" w:pos="993"/>
        </w:tabs>
        <w:ind w:left="993" w:hanging="993"/>
        <w:rPr>
          <w:lang w:eastAsia="en-GB"/>
        </w:rPr>
      </w:pPr>
      <w:r>
        <w:rPr>
          <w:lang w:eastAsia="en-GB"/>
        </w:rPr>
        <w:lastRenderedPageBreak/>
        <w:t xml:space="preserve">2. </w:t>
      </w:r>
      <w:r w:rsidR="0051530F">
        <w:rPr>
          <w:lang w:eastAsia="en-GB"/>
        </w:rPr>
        <w:tab/>
      </w:r>
      <w:r>
        <w:rPr>
          <w:lang w:eastAsia="en-GB"/>
        </w:rPr>
        <w:t>Policy statement (Key information)</w:t>
      </w:r>
    </w:p>
    <w:p w14:paraId="7A05FFC5" w14:textId="4F68821A" w:rsidR="0051530F" w:rsidRDefault="001A020E" w:rsidP="0090198B">
      <w:pPr>
        <w:tabs>
          <w:tab w:val="left" w:pos="993"/>
        </w:tabs>
        <w:ind w:left="993" w:hanging="993"/>
        <w:rPr>
          <w:lang w:eastAsia="en-GB"/>
        </w:rPr>
      </w:pPr>
      <w:r>
        <w:rPr>
          <w:lang w:eastAsia="en-GB"/>
        </w:rPr>
        <w:t xml:space="preserve">2.1. </w:t>
      </w:r>
      <w:r>
        <w:rPr>
          <w:lang w:eastAsia="en-GB"/>
        </w:rPr>
        <w:tab/>
        <w:t xml:space="preserve">The policy detail should be placed here. Section headings might include: </w:t>
      </w:r>
    </w:p>
    <w:p w14:paraId="4E853B1B" w14:textId="77777777" w:rsidR="0090198B" w:rsidRDefault="001A020E" w:rsidP="0090198B">
      <w:pPr>
        <w:pStyle w:val="ListParagraph"/>
        <w:numPr>
          <w:ilvl w:val="0"/>
          <w:numId w:val="19"/>
        </w:numPr>
        <w:tabs>
          <w:tab w:val="left" w:pos="993"/>
        </w:tabs>
        <w:ind w:left="1843"/>
        <w:rPr>
          <w:lang w:eastAsia="en-GB"/>
        </w:rPr>
      </w:pPr>
      <w:r w:rsidRPr="0051530F">
        <w:rPr>
          <w:lang w:eastAsia="en-GB"/>
        </w:rPr>
        <w:t>Principles and scope of the policy</w:t>
      </w:r>
    </w:p>
    <w:p w14:paraId="6F56A7B0" w14:textId="77777777" w:rsidR="0090198B" w:rsidRDefault="0090198B" w:rsidP="0090198B">
      <w:pPr>
        <w:pStyle w:val="ListParagraph"/>
        <w:numPr>
          <w:ilvl w:val="0"/>
          <w:numId w:val="19"/>
        </w:numPr>
        <w:tabs>
          <w:tab w:val="left" w:pos="993"/>
        </w:tabs>
        <w:ind w:left="1843"/>
        <w:rPr>
          <w:lang w:eastAsia="en-GB"/>
        </w:rPr>
      </w:pPr>
      <w:r>
        <w:rPr>
          <w:lang w:eastAsia="en-GB"/>
        </w:rPr>
        <w:t>M</w:t>
      </w:r>
      <w:r w:rsidR="001A020E" w:rsidRPr="0051530F">
        <w:rPr>
          <w:lang w:eastAsia="en-GB"/>
        </w:rPr>
        <w:t xml:space="preserve">otivators and driving </w:t>
      </w:r>
      <w:proofErr w:type="gramStart"/>
      <w:r w:rsidR="001A020E" w:rsidRPr="0051530F">
        <w:rPr>
          <w:lang w:eastAsia="en-GB"/>
        </w:rPr>
        <w:t>forces</w:t>
      </w:r>
      <w:proofErr w:type="gramEnd"/>
    </w:p>
    <w:p w14:paraId="2265B646" w14:textId="6A6C0871" w:rsidR="001A020E" w:rsidRPr="0051530F" w:rsidRDefault="001A020E" w:rsidP="0090198B">
      <w:pPr>
        <w:pStyle w:val="ListParagraph"/>
        <w:numPr>
          <w:ilvl w:val="0"/>
          <w:numId w:val="19"/>
        </w:numPr>
        <w:tabs>
          <w:tab w:val="left" w:pos="993"/>
        </w:tabs>
        <w:ind w:left="1843"/>
        <w:rPr>
          <w:lang w:eastAsia="en-GB"/>
        </w:rPr>
      </w:pPr>
      <w:r w:rsidRPr="0051530F">
        <w:rPr>
          <w:lang w:eastAsia="en-GB"/>
        </w:rPr>
        <w:t xml:space="preserve">Implications (of breaches, etc). </w:t>
      </w:r>
    </w:p>
    <w:p w14:paraId="330E51E7" w14:textId="745B8295" w:rsidR="001A020E" w:rsidRDefault="0051530F" w:rsidP="0090198B">
      <w:pPr>
        <w:tabs>
          <w:tab w:val="left" w:pos="993"/>
        </w:tabs>
        <w:ind w:left="993" w:hanging="993"/>
        <w:rPr>
          <w:lang w:eastAsia="en-GB"/>
        </w:rPr>
      </w:pPr>
      <w:r>
        <w:rPr>
          <w:lang w:eastAsia="en-GB"/>
        </w:rPr>
        <w:tab/>
      </w:r>
      <w:r w:rsidR="001A020E">
        <w:rPr>
          <w:lang w:eastAsia="en-GB"/>
        </w:rPr>
        <w:t>Avoid the use of unexplained acronyms, jargon and localisms and provide definitions and explanations for clarity where required.</w:t>
      </w:r>
    </w:p>
    <w:p w14:paraId="18DF0739" w14:textId="77777777" w:rsidR="00DF7EE1" w:rsidRDefault="00DF7EE1" w:rsidP="00DF7EE1">
      <w:pPr>
        <w:pStyle w:val="Heading4"/>
        <w:tabs>
          <w:tab w:val="left" w:pos="994"/>
        </w:tabs>
        <w:rPr>
          <w:lang w:eastAsia="en-GB"/>
        </w:rPr>
      </w:pPr>
      <w:r>
        <w:rPr>
          <w:lang w:eastAsia="en-GB"/>
        </w:rPr>
        <w:t>2.1.</w:t>
      </w:r>
      <w:r>
        <w:rPr>
          <w:lang w:eastAsia="en-GB"/>
        </w:rPr>
        <w:tab/>
        <w:t xml:space="preserve">Principles and Scope  </w:t>
      </w:r>
    </w:p>
    <w:p w14:paraId="3F24CBBB" w14:textId="77777777" w:rsidR="00DF7EE1" w:rsidRDefault="00DF7EE1" w:rsidP="00DF7EE1">
      <w:pPr>
        <w:tabs>
          <w:tab w:val="left" w:pos="993"/>
        </w:tabs>
        <w:ind w:left="993" w:hanging="993"/>
        <w:rPr>
          <w:lang w:eastAsia="en-GB"/>
        </w:rPr>
      </w:pPr>
      <w:r>
        <w:rPr>
          <w:lang w:eastAsia="en-GB"/>
        </w:rPr>
        <w:t>2.1.2.</w:t>
      </w:r>
      <w:r>
        <w:rPr>
          <w:lang w:eastAsia="en-GB"/>
        </w:rPr>
        <w:tab/>
        <w:t>This policy sets out how Lincolnshire Police will meet their legal duties, national government directives and agreed commitments to National Police Chiefs Council and other responder organisations with respect to mitigating the risks posed by Chemical, Biological, Radiological and Nuclear (CBRN) incidents.</w:t>
      </w:r>
    </w:p>
    <w:p w14:paraId="01A89D5A" w14:textId="77777777" w:rsidR="00DF7EE1" w:rsidRDefault="00DF7EE1" w:rsidP="00DF7EE1">
      <w:pPr>
        <w:tabs>
          <w:tab w:val="left" w:pos="993"/>
        </w:tabs>
        <w:ind w:left="993" w:hanging="993"/>
        <w:rPr>
          <w:lang w:eastAsia="en-GB"/>
        </w:rPr>
      </w:pPr>
      <w:r>
        <w:rPr>
          <w:lang w:eastAsia="en-GB"/>
        </w:rPr>
        <w:t>2.1.3.</w:t>
      </w:r>
      <w:r>
        <w:rPr>
          <w:lang w:eastAsia="en-GB"/>
        </w:rPr>
        <w:tab/>
        <w:t xml:space="preserve">This policy does not provide direction or guidance regarding the operational response to be applied to CBRN Incidents. This is provided via Authorised Professional Practice (APP) issued by College of Policing, national and local training </w:t>
      </w:r>
      <w:proofErr w:type="gramStart"/>
      <w:r>
        <w:rPr>
          <w:lang w:eastAsia="en-GB"/>
        </w:rPr>
        <w:t>materials</w:t>
      </w:r>
      <w:proofErr w:type="gramEnd"/>
      <w:r>
        <w:rPr>
          <w:lang w:eastAsia="en-GB"/>
        </w:rPr>
        <w:t xml:space="preserve"> and specific regional and local response plans. The nature of Lincolnshire Police operational response will be guided by relevant specialist incident commanders supported by the Police National CBRN Centre (PNCBRNC).</w:t>
      </w:r>
    </w:p>
    <w:p w14:paraId="3CA9460F" w14:textId="77777777" w:rsidR="00DF7EE1" w:rsidRDefault="00DF7EE1" w:rsidP="00DF7EE1">
      <w:pPr>
        <w:pStyle w:val="Heading4"/>
        <w:tabs>
          <w:tab w:val="left" w:pos="994"/>
        </w:tabs>
        <w:rPr>
          <w:lang w:eastAsia="en-GB"/>
        </w:rPr>
      </w:pPr>
      <w:r>
        <w:rPr>
          <w:lang w:eastAsia="en-GB"/>
        </w:rPr>
        <w:t>2.2.</w:t>
      </w:r>
      <w:r>
        <w:rPr>
          <w:lang w:eastAsia="en-GB"/>
        </w:rPr>
        <w:tab/>
        <w:t xml:space="preserve">Origins/Background </w:t>
      </w:r>
    </w:p>
    <w:p w14:paraId="44F1886A" w14:textId="77777777" w:rsidR="00DF7EE1" w:rsidRDefault="00DF7EE1" w:rsidP="00DF7EE1">
      <w:pPr>
        <w:tabs>
          <w:tab w:val="left" w:pos="993"/>
        </w:tabs>
        <w:ind w:left="993" w:hanging="993"/>
        <w:rPr>
          <w:lang w:eastAsia="en-GB"/>
        </w:rPr>
      </w:pPr>
      <w:r>
        <w:rPr>
          <w:lang w:eastAsia="en-GB"/>
        </w:rPr>
        <w:t>2.2.1.</w:t>
      </w:r>
      <w:r>
        <w:rPr>
          <w:lang w:eastAsia="en-GB"/>
        </w:rPr>
        <w:tab/>
        <w:t xml:space="preserve">The National Risk Register provides detailed guidance regarding the nature of CBRN risks and threats to be planned for across the UK. The Civil Contingencies Act 2004 places a duty upon Chief Constables (as Category 1 Responders) to assess risk and maintain plans to enable response to identified risks in their area. </w:t>
      </w:r>
    </w:p>
    <w:p w14:paraId="010B1D15" w14:textId="77777777" w:rsidR="00DF7EE1" w:rsidRDefault="00DF7EE1" w:rsidP="00DF7EE1">
      <w:pPr>
        <w:tabs>
          <w:tab w:val="left" w:pos="993"/>
        </w:tabs>
        <w:ind w:left="993" w:hanging="993"/>
        <w:rPr>
          <w:lang w:eastAsia="en-GB"/>
        </w:rPr>
      </w:pPr>
      <w:r>
        <w:rPr>
          <w:lang w:eastAsia="en-GB"/>
        </w:rPr>
        <w:t>2.2.2.</w:t>
      </w:r>
      <w:r>
        <w:rPr>
          <w:lang w:eastAsia="en-GB"/>
        </w:rPr>
        <w:tab/>
        <w:t xml:space="preserve">Local / Regional risk assessment indicates Lincolnshire is exposed to the CBRN risk, though to a lesser level than some other areas of the UK. The </w:t>
      </w:r>
      <w:r>
        <w:rPr>
          <w:lang w:eastAsia="en-GB"/>
        </w:rPr>
        <w:lastRenderedPageBreak/>
        <w:t>CBRN response capability to cover Lincolnshire will be based upon the guidance given within the current National Risk Register and National Resilience Planning Assumptions and East Midlands Regional CBRN - Strategic Threat and Risk Assessment. In broad terms this means that all operational resources need to maintain an awareness of the risk and nature of the initial response required and be able to access the required specialist resources required to deal with the specific hazards and circumstances likely to be generated by CBRN Incidents.</w:t>
      </w:r>
    </w:p>
    <w:p w14:paraId="2267688D" w14:textId="77777777" w:rsidR="00DF7EE1" w:rsidRDefault="00DF7EE1" w:rsidP="00DF7EE1">
      <w:pPr>
        <w:tabs>
          <w:tab w:val="left" w:pos="993"/>
        </w:tabs>
        <w:ind w:left="993" w:hanging="993"/>
        <w:rPr>
          <w:lang w:eastAsia="en-GB"/>
        </w:rPr>
      </w:pPr>
      <w:r>
        <w:rPr>
          <w:lang w:eastAsia="en-GB"/>
        </w:rPr>
        <w:t>2.2.3.</w:t>
      </w:r>
      <w:r>
        <w:rPr>
          <w:lang w:eastAsia="en-GB"/>
        </w:rPr>
        <w:tab/>
        <w:t xml:space="preserve">It is recognised that CBRN type incidents are an area of business where police forces across the UK must work together to provide a capability to respond to the CBRN threat as described in the National Risk </w:t>
      </w:r>
      <w:proofErr w:type="gramStart"/>
      <w:r>
        <w:rPr>
          <w:lang w:eastAsia="en-GB"/>
        </w:rPr>
        <w:t>Register..</w:t>
      </w:r>
      <w:proofErr w:type="gramEnd"/>
    </w:p>
    <w:p w14:paraId="7422AC5B" w14:textId="77777777" w:rsidR="00DF7EE1" w:rsidRDefault="00DF7EE1" w:rsidP="00DF7EE1">
      <w:pPr>
        <w:tabs>
          <w:tab w:val="left" w:pos="993"/>
        </w:tabs>
        <w:ind w:left="993" w:hanging="993"/>
        <w:rPr>
          <w:lang w:eastAsia="en-GB"/>
        </w:rPr>
      </w:pPr>
      <w:r>
        <w:rPr>
          <w:lang w:eastAsia="en-GB"/>
        </w:rPr>
        <w:t>2.2.4.</w:t>
      </w:r>
      <w:r>
        <w:rPr>
          <w:lang w:eastAsia="en-GB"/>
        </w:rPr>
        <w:tab/>
        <w:t xml:space="preserve">The National Policing Requirement published by NPCC, provides details regarding the capabilities and capacity required to be developed by UK Police forces to meet the expectations of the Strategic Policing Requirement. There is an expectation that forces will collaborate regionally when organising their contribution to national capacity. </w:t>
      </w:r>
    </w:p>
    <w:p w14:paraId="713B212B" w14:textId="77777777" w:rsidR="00DF7EE1" w:rsidRDefault="00DF7EE1" w:rsidP="00DF7EE1">
      <w:pPr>
        <w:tabs>
          <w:tab w:val="left" w:pos="993"/>
        </w:tabs>
        <w:ind w:left="993" w:hanging="993"/>
        <w:rPr>
          <w:lang w:eastAsia="en-GB"/>
        </w:rPr>
      </w:pPr>
      <w:r>
        <w:rPr>
          <w:lang w:eastAsia="en-GB"/>
        </w:rPr>
        <w:t>2.2.5.</w:t>
      </w:r>
      <w:r>
        <w:rPr>
          <w:lang w:eastAsia="en-GB"/>
        </w:rPr>
        <w:tab/>
        <w:t>The Chief Constable has agreed that Lincolnshire Police should cooperate with other UK police forces to maintain an effective capability to respond to any CBRN incident, including those affecting Lincolnshire in line with the requirements of these national policies. The Police and Crime Plan states, that Lincolnshire Police will play a full part in meeting the Strategic Policing Requirement nationally by working in partnership with regional and national agencies and resourcing appropriate capability locally to provide support to other forces when required.</w:t>
      </w:r>
    </w:p>
    <w:p w14:paraId="04746BD5" w14:textId="77777777" w:rsidR="00DF7EE1" w:rsidRDefault="00DF7EE1" w:rsidP="00DF7EE1">
      <w:pPr>
        <w:tabs>
          <w:tab w:val="left" w:pos="993"/>
        </w:tabs>
        <w:ind w:left="993" w:hanging="993"/>
        <w:rPr>
          <w:lang w:eastAsia="en-GB"/>
        </w:rPr>
      </w:pPr>
      <w:r>
        <w:rPr>
          <w:lang w:eastAsia="en-GB"/>
        </w:rPr>
        <w:t>2.2.6.</w:t>
      </w:r>
      <w:r>
        <w:rPr>
          <w:lang w:eastAsia="en-GB"/>
        </w:rPr>
        <w:tab/>
        <w:t>Lincolnshire’s contribution to national and regional CBRN capability should be proportionate to the comparative share of the UK / Regional policing budget.</w:t>
      </w:r>
    </w:p>
    <w:p w14:paraId="01596B94" w14:textId="77777777" w:rsidR="00DF7EE1" w:rsidRDefault="00DF7EE1" w:rsidP="00DF7EE1">
      <w:pPr>
        <w:tabs>
          <w:tab w:val="left" w:pos="993"/>
        </w:tabs>
        <w:ind w:left="993" w:hanging="993"/>
        <w:rPr>
          <w:lang w:eastAsia="en-GB"/>
        </w:rPr>
      </w:pPr>
      <w:r>
        <w:rPr>
          <w:lang w:eastAsia="en-GB"/>
        </w:rPr>
        <w:t>2.2.7.</w:t>
      </w:r>
      <w:r>
        <w:rPr>
          <w:lang w:eastAsia="en-GB"/>
        </w:rPr>
        <w:tab/>
        <w:t>The East Midlands Region is required to provide the capability to generate a set number of appropriately trained and equipped specialist CBRN Responders and relevant managers. It has been agreed this resource burden should be spread across all regional police forces, supported by regional command and coordination arrangements which ensure operational interoperability.</w:t>
      </w:r>
    </w:p>
    <w:p w14:paraId="5E80ABC9" w14:textId="77777777" w:rsidR="00DF7EE1" w:rsidRDefault="00DF7EE1" w:rsidP="00DF7EE1">
      <w:pPr>
        <w:pStyle w:val="Heading4"/>
        <w:tabs>
          <w:tab w:val="left" w:pos="966"/>
        </w:tabs>
        <w:rPr>
          <w:lang w:eastAsia="en-GB"/>
        </w:rPr>
      </w:pPr>
      <w:r>
        <w:rPr>
          <w:lang w:eastAsia="en-GB"/>
        </w:rPr>
        <w:lastRenderedPageBreak/>
        <w:t>2.3.</w:t>
      </w:r>
      <w:r>
        <w:rPr>
          <w:lang w:eastAsia="en-GB"/>
        </w:rPr>
        <w:tab/>
        <w:t>Motivators/Driving Forces</w:t>
      </w:r>
    </w:p>
    <w:p w14:paraId="094B1F82" w14:textId="0D3F338C" w:rsidR="00DF7EE1" w:rsidRDefault="00DF7EE1" w:rsidP="00DF7EE1">
      <w:pPr>
        <w:pStyle w:val="ListParagraph"/>
        <w:numPr>
          <w:ilvl w:val="0"/>
          <w:numId w:val="19"/>
        </w:numPr>
        <w:tabs>
          <w:tab w:val="left" w:pos="993"/>
        </w:tabs>
        <w:ind w:left="1843"/>
        <w:rPr>
          <w:lang w:eastAsia="en-GB"/>
        </w:rPr>
      </w:pPr>
      <w:r>
        <w:rPr>
          <w:lang w:eastAsia="en-GB"/>
        </w:rPr>
        <w:t>Civil Contingencies Act 2004 and related Regulations.</w:t>
      </w:r>
    </w:p>
    <w:p w14:paraId="220462DE" w14:textId="13CEA624" w:rsidR="00DF7EE1" w:rsidRDefault="00DF7EE1" w:rsidP="00DF7EE1">
      <w:pPr>
        <w:pStyle w:val="ListParagraph"/>
        <w:numPr>
          <w:ilvl w:val="0"/>
          <w:numId w:val="19"/>
        </w:numPr>
        <w:tabs>
          <w:tab w:val="left" w:pos="993"/>
        </w:tabs>
        <w:ind w:left="1843"/>
        <w:rPr>
          <w:lang w:eastAsia="en-GB"/>
        </w:rPr>
      </w:pPr>
      <w:r>
        <w:rPr>
          <w:lang w:eastAsia="en-GB"/>
        </w:rPr>
        <w:t>Human Rights Act</w:t>
      </w:r>
    </w:p>
    <w:p w14:paraId="1D51B1AC" w14:textId="1766AF05" w:rsidR="00DF7EE1" w:rsidRDefault="00DF7EE1" w:rsidP="00DF7EE1">
      <w:pPr>
        <w:pStyle w:val="ListParagraph"/>
        <w:numPr>
          <w:ilvl w:val="0"/>
          <w:numId w:val="19"/>
        </w:numPr>
        <w:tabs>
          <w:tab w:val="left" w:pos="993"/>
        </w:tabs>
        <w:ind w:left="1843"/>
        <w:rPr>
          <w:lang w:eastAsia="en-GB"/>
        </w:rPr>
      </w:pPr>
      <w:r>
        <w:rPr>
          <w:lang w:eastAsia="en-GB"/>
        </w:rPr>
        <w:t>Health and Safety at Work Act</w:t>
      </w:r>
    </w:p>
    <w:p w14:paraId="6219D0D9" w14:textId="30631FF3" w:rsidR="00DF7EE1" w:rsidRDefault="00DF7EE1" w:rsidP="00DF7EE1">
      <w:pPr>
        <w:pStyle w:val="ListParagraph"/>
        <w:numPr>
          <w:ilvl w:val="0"/>
          <w:numId w:val="19"/>
        </w:numPr>
        <w:tabs>
          <w:tab w:val="left" w:pos="993"/>
        </w:tabs>
        <w:ind w:left="1843"/>
        <w:rPr>
          <w:lang w:eastAsia="en-GB"/>
        </w:rPr>
      </w:pPr>
      <w:r>
        <w:rPr>
          <w:lang w:eastAsia="en-GB"/>
        </w:rPr>
        <w:t>Strategic Policing Requirement</w:t>
      </w:r>
    </w:p>
    <w:p w14:paraId="136E0BF9" w14:textId="1858207D" w:rsidR="00DF7EE1" w:rsidRDefault="00DF7EE1" w:rsidP="00DF7EE1">
      <w:pPr>
        <w:pStyle w:val="ListParagraph"/>
        <w:numPr>
          <w:ilvl w:val="0"/>
          <w:numId w:val="19"/>
        </w:numPr>
        <w:tabs>
          <w:tab w:val="left" w:pos="993"/>
        </w:tabs>
        <w:ind w:left="1843"/>
        <w:rPr>
          <w:lang w:eastAsia="en-GB"/>
        </w:rPr>
      </w:pPr>
      <w:r>
        <w:rPr>
          <w:lang w:eastAsia="en-GB"/>
        </w:rPr>
        <w:t>National Policing Requirement</w:t>
      </w:r>
    </w:p>
    <w:p w14:paraId="7FCDFB96" w14:textId="2D26677C" w:rsidR="00DF7EE1" w:rsidRDefault="00DF7EE1" w:rsidP="00DF7EE1">
      <w:pPr>
        <w:pStyle w:val="ListParagraph"/>
        <w:numPr>
          <w:ilvl w:val="0"/>
          <w:numId w:val="19"/>
        </w:numPr>
        <w:tabs>
          <w:tab w:val="left" w:pos="993"/>
        </w:tabs>
        <w:ind w:left="1843"/>
        <w:rPr>
          <w:lang w:eastAsia="en-GB"/>
        </w:rPr>
      </w:pPr>
      <w:r>
        <w:rPr>
          <w:lang w:eastAsia="en-GB"/>
        </w:rPr>
        <w:t>National Resilience Planning Assumptions</w:t>
      </w:r>
    </w:p>
    <w:p w14:paraId="1C39A92C" w14:textId="41122555" w:rsidR="00DF7EE1" w:rsidRDefault="00DF7EE1" w:rsidP="00DF7EE1">
      <w:pPr>
        <w:pStyle w:val="ListParagraph"/>
        <w:numPr>
          <w:ilvl w:val="0"/>
          <w:numId w:val="19"/>
        </w:numPr>
        <w:tabs>
          <w:tab w:val="left" w:pos="993"/>
        </w:tabs>
        <w:ind w:left="1843"/>
        <w:rPr>
          <w:lang w:eastAsia="en-GB"/>
        </w:rPr>
      </w:pPr>
      <w:r>
        <w:rPr>
          <w:lang w:eastAsia="en-GB"/>
        </w:rPr>
        <w:t>Police Authorised Professional Practice on CBRN</w:t>
      </w:r>
    </w:p>
    <w:p w14:paraId="6B1BC43D" w14:textId="77777777" w:rsidR="00DF7EE1" w:rsidRDefault="00DF7EE1" w:rsidP="00DF7EE1">
      <w:pPr>
        <w:pStyle w:val="Heading4"/>
        <w:tabs>
          <w:tab w:val="left" w:pos="980"/>
        </w:tabs>
        <w:rPr>
          <w:lang w:eastAsia="en-GB"/>
        </w:rPr>
      </w:pPr>
      <w:r>
        <w:rPr>
          <w:lang w:eastAsia="en-GB"/>
        </w:rPr>
        <w:t>2.4.</w:t>
      </w:r>
      <w:r>
        <w:rPr>
          <w:lang w:eastAsia="en-GB"/>
        </w:rPr>
        <w:tab/>
        <w:t>Governance</w:t>
      </w:r>
    </w:p>
    <w:p w14:paraId="23444E66" w14:textId="77777777" w:rsidR="00DF7EE1" w:rsidRDefault="00DF7EE1" w:rsidP="00DF7EE1">
      <w:pPr>
        <w:tabs>
          <w:tab w:val="left" w:pos="993"/>
        </w:tabs>
        <w:ind w:left="993" w:hanging="993"/>
        <w:rPr>
          <w:lang w:eastAsia="en-GB"/>
        </w:rPr>
      </w:pPr>
      <w:r>
        <w:rPr>
          <w:lang w:eastAsia="en-GB"/>
        </w:rPr>
        <w:t>2.4.1.</w:t>
      </w:r>
      <w:r>
        <w:rPr>
          <w:lang w:eastAsia="en-GB"/>
        </w:rPr>
        <w:tab/>
        <w:t xml:space="preserve">Lincolnshire Police will: </w:t>
      </w:r>
    </w:p>
    <w:p w14:paraId="0E806ACF" w14:textId="77777777" w:rsidR="00DF7EE1" w:rsidRDefault="00DF7EE1" w:rsidP="00DF7EE1">
      <w:pPr>
        <w:tabs>
          <w:tab w:val="left" w:pos="993"/>
        </w:tabs>
        <w:ind w:left="993" w:hanging="993"/>
        <w:rPr>
          <w:lang w:eastAsia="en-GB"/>
        </w:rPr>
      </w:pPr>
      <w:r>
        <w:rPr>
          <w:lang w:eastAsia="en-GB"/>
        </w:rPr>
        <w:t>2.4.1.1.</w:t>
      </w:r>
      <w:r>
        <w:rPr>
          <w:lang w:eastAsia="en-GB"/>
        </w:rPr>
        <w:tab/>
        <w:t>Collaborate with other East Midlands Police Forces regarding the development and maintenance of Police CBRN capability. This will include active participation in and taking account of the decisions made by the Regional Strategic and Practitioners CBRN Working Groups adopting relevant Group Terms of Reference. At Force level, strategic leadership will be provided by the Assistant Chief Constable.</w:t>
      </w:r>
    </w:p>
    <w:p w14:paraId="6F8E532D" w14:textId="77777777" w:rsidR="00DF7EE1" w:rsidRDefault="00DF7EE1" w:rsidP="00DF7EE1">
      <w:pPr>
        <w:tabs>
          <w:tab w:val="left" w:pos="993"/>
        </w:tabs>
        <w:ind w:left="993" w:hanging="993"/>
        <w:rPr>
          <w:lang w:eastAsia="en-GB"/>
        </w:rPr>
      </w:pPr>
      <w:r>
        <w:rPr>
          <w:lang w:eastAsia="en-GB"/>
        </w:rPr>
        <w:t>2.4.1.2.</w:t>
      </w:r>
      <w:r>
        <w:rPr>
          <w:lang w:eastAsia="en-GB"/>
        </w:rPr>
        <w:tab/>
        <w:t xml:space="preserve">Lead multi-agency cooperation with other Category 1 Responders operating within Lincolnshire, to maintain an ongoing assessment of the </w:t>
      </w:r>
      <w:proofErr w:type="gramStart"/>
      <w:r>
        <w:rPr>
          <w:lang w:eastAsia="en-GB"/>
        </w:rPr>
        <w:t>counties</w:t>
      </w:r>
      <w:proofErr w:type="gramEnd"/>
      <w:r>
        <w:rPr>
          <w:lang w:eastAsia="en-GB"/>
        </w:rPr>
        <w:t xml:space="preserve"> exposure to risks from an incident involving Chemical, Biological, Radiological release or a Nuclear incident causing impacts severe enough to be regarded as an Emergency (as defined by the Civil Contingencies Act 2004). Assessment will be based upon guidance issued in the current version of the National Risk Assessment, Local Risk Assessment Guidance and National Resilience Planning Assumptions issued by HM Government – Civil Contingencies Secretariat.</w:t>
      </w:r>
    </w:p>
    <w:p w14:paraId="4219C63B" w14:textId="77777777" w:rsidR="00DF7EE1" w:rsidRDefault="00DF7EE1" w:rsidP="00DF7EE1">
      <w:pPr>
        <w:tabs>
          <w:tab w:val="left" w:pos="993"/>
        </w:tabs>
        <w:ind w:left="993" w:hanging="993"/>
        <w:rPr>
          <w:lang w:eastAsia="en-GB"/>
        </w:rPr>
      </w:pPr>
      <w:r>
        <w:rPr>
          <w:lang w:eastAsia="en-GB"/>
        </w:rPr>
        <w:t>2.4.1.3.</w:t>
      </w:r>
      <w:r>
        <w:rPr>
          <w:lang w:eastAsia="en-GB"/>
        </w:rPr>
        <w:tab/>
        <w:t xml:space="preserve">Take account of the requirements of the current ‘Strategic Policing Requirement’ to maintain a </w:t>
      </w:r>
      <w:proofErr w:type="gramStart"/>
      <w:r>
        <w:rPr>
          <w:lang w:eastAsia="en-GB"/>
        </w:rPr>
        <w:t>police</w:t>
      </w:r>
      <w:proofErr w:type="gramEnd"/>
      <w:r>
        <w:rPr>
          <w:lang w:eastAsia="en-GB"/>
        </w:rPr>
        <w:t xml:space="preserve"> CBRN capability in collaboration with other UK police forces.</w:t>
      </w:r>
    </w:p>
    <w:p w14:paraId="71D69A06" w14:textId="77777777" w:rsidR="00DF7EE1" w:rsidRDefault="00DF7EE1" w:rsidP="00DF7EE1">
      <w:pPr>
        <w:tabs>
          <w:tab w:val="left" w:pos="993"/>
        </w:tabs>
        <w:ind w:left="993" w:hanging="993"/>
        <w:rPr>
          <w:lang w:eastAsia="en-GB"/>
        </w:rPr>
      </w:pPr>
      <w:r>
        <w:rPr>
          <w:lang w:eastAsia="en-GB"/>
        </w:rPr>
        <w:lastRenderedPageBreak/>
        <w:t>2.4.1.4.</w:t>
      </w:r>
      <w:r>
        <w:rPr>
          <w:lang w:eastAsia="en-GB"/>
        </w:rPr>
        <w:tab/>
        <w:t>Take account of the resource requirements specified by the Police National CBRN Centre and NPCC when assessing the capability and capacity required.</w:t>
      </w:r>
    </w:p>
    <w:p w14:paraId="50DFDB27" w14:textId="77777777" w:rsidR="00DF7EE1" w:rsidRDefault="00DF7EE1" w:rsidP="00DF7EE1">
      <w:pPr>
        <w:tabs>
          <w:tab w:val="left" w:pos="993"/>
        </w:tabs>
        <w:ind w:left="993" w:hanging="993"/>
        <w:rPr>
          <w:lang w:eastAsia="en-GB"/>
        </w:rPr>
      </w:pPr>
      <w:r>
        <w:rPr>
          <w:lang w:eastAsia="en-GB"/>
        </w:rPr>
        <w:t>2.4.1.5.</w:t>
      </w:r>
      <w:r>
        <w:rPr>
          <w:lang w:eastAsia="en-GB"/>
        </w:rPr>
        <w:tab/>
        <w:t>Take account of and align planned police CBRN response arrangements to CBRN specific guidance issued in NPCC Authorised Professional Practice (APP) and materials published by the Police National CBRN centre.</w:t>
      </w:r>
    </w:p>
    <w:p w14:paraId="36E7547D" w14:textId="77777777" w:rsidR="00DF7EE1" w:rsidRDefault="00DF7EE1" w:rsidP="00DF7EE1">
      <w:pPr>
        <w:tabs>
          <w:tab w:val="left" w:pos="993"/>
        </w:tabs>
        <w:ind w:left="993" w:hanging="993"/>
        <w:rPr>
          <w:lang w:eastAsia="en-GB"/>
        </w:rPr>
      </w:pPr>
      <w:r>
        <w:rPr>
          <w:lang w:eastAsia="en-GB"/>
        </w:rPr>
        <w:t>2.4.1.6.</w:t>
      </w:r>
      <w:r>
        <w:rPr>
          <w:lang w:eastAsia="en-GB"/>
        </w:rPr>
        <w:tab/>
        <w:t xml:space="preserve">Collaborate with other East Midlands Police Forces, National Police Counter Terrorist </w:t>
      </w:r>
      <w:proofErr w:type="gramStart"/>
      <w:r>
        <w:rPr>
          <w:lang w:eastAsia="en-GB"/>
        </w:rPr>
        <w:t>HQ</w:t>
      </w:r>
      <w:proofErr w:type="gramEnd"/>
      <w:r>
        <w:rPr>
          <w:lang w:eastAsia="en-GB"/>
        </w:rPr>
        <w:t xml:space="preserve"> and relevant Regional Counter Terrorist Units to produce the regional CBRN Strategic Threat and Risk Assessment and coordinate maintenance of a planned police capability to prevent and respond to the impacts of a CBRN incident in the region, and/or contribute to the UK police response capability.</w:t>
      </w:r>
    </w:p>
    <w:p w14:paraId="63A119C6" w14:textId="77777777" w:rsidR="00DF7EE1" w:rsidRDefault="00DF7EE1" w:rsidP="00DF7EE1">
      <w:pPr>
        <w:tabs>
          <w:tab w:val="left" w:pos="993"/>
        </w:tabs>
        <w:ind w:left="993" w:hanging="993"/>
        <w:rPr>
          <w:lang w:eastAsia="en-GB"/>
        </w:rPr>
      </w:pPr>
      <w:r>
        <w:rPr>
          <w:lang w:eastAsia="en-GB"/>
        </w:rPr>
        <w:t>2.4.1.7.</w:t>
      </w:r>
      <w:r>
        <w:rPr>
          <w:lang w:eastAsia="en-GB"/>
        </w:rPr>
        <w:tab/>
        <w:t xml:space="preserve">Ensure coordination of multi-agency planning, capability development and maintenance </w:t>
      </w:r>
      <w:proofErr w:type="gramStart"/>
      <w:r>
        <w:rPr>
          <w:lang w:eastAsia="en-GB"/>
        </w:rPr>
        <w:t>is</w:t>
      </w:r>
      <w:proofErr w:type="gramEnd"/>
      <w:r>
        <w:rPr>
          <w:lang w:eastAsia="en-GB"/>
        </w:rPr>
        <w:t xml:space="preserve"> so far as necessary to ensure an appropriate multi-agency CBRN response capability is maintained to deal with CBRN risks affecting Lincolnshire. This will be led by the Force Emergency Planning Officer in cooperation with relevant local and regional Category 1 and 2 Responders.</w:t>
      </w:r>
    </w:p>
    <w:p w14:paraId="36669D04" w14:textId="77777777" w:rsidR="00DF7EE1" w:rsidRDefault="00DF7EE1" w:rsidP="00DF7EE1">
      <w:pPr>
        <w:tabs>
          <w:tab w:val="left" w:pos="993"/>
        </w:tabs>
        <w:ind w:left="993" w:hanging="993"/>
        <w:rPr>
          <w:lang w:eastAsia="en-GB"/>
        </w:rPr>
      </w:pPr>
      <w:r>
        <w:rPr>
          <w:lang w:eastAsia="en-GB"/>
        </w:rPr>
        <w:t>2.4.1.8.</w:t>
      </w:r>
      <w:r>
        <w:rPr>
          <w:lang w:eastAsia="en-GB"/>
        </w:rPr>
        <w:tab/>
        <w:t>Cooperate with PNCBRNC in relation to maintenance of national CBRN capability by appointing relevant single points of contact, publishing issued guidance and operational bulletins to relevant staff, completing required administrative procedures in line with agreed NPCC requirements.</w:t>
      </w:r>
    </w:p>
    <w:p w14:paraId="19A2855C" w14:textId="77777777" w:rsidR="00DF7EE1" w:rsidRDefault="00DF7EE1" w:rsidP="00DF7EE1">
      <w:pPr>
        <w:pStyle w:val="Heading4"/>
        <w:tabs>
          <w:tab w:val="left" w:pos="994"/>
        </w:tabs>
        <w:ind w:left="990" w:hanging="990"/>
        <w:rPr>
          <w:lang w:eastAsia="en-GB"/>
        </w:rPr>
      </w:pPr>
      <w:r>
        <w:rPr>
          <w:lang w:eastAsia="en-GB"/>
        </w:rPr>
        <w:t>2.5.</w:t>
      </w:r>
      <w:r>
        <w:rPr>
          <w:lang w:eastAsia="en-GB"/>
        </w:rPr>
        <w:tab/>
        <w:t>CBRN Specialist Operational Responders (CBRN SOR) - Recruitment and Training</w:t>
      </w:r>
    </w:p>
    <w:p w14:paraId="0AE2EB46" w14:textId="77777777" w:rsidR="00DF7EE1" w:rsidRDefault="00DF7EE1" w:rsidP="00DF7EE1">
      <w:pPr>
        <w:tabs>
          <w:tab w:val="left" w:pos="993"/>
        </w:tabs>
        <w:ind w:left="993" w:hanging="993"/>
        <w:rPr>
          <w:lang w:eastAsia="en-GB"/>
        </w:rPr>
      </w:pPr>
      <w:r>
        <w:rPr>
          <w:lang w:eastAsia="en-GB"/>
        </w:rPr>
        <w:t>2.5.1.</w:t>
      </w:r>
      <w:r>
        <w:rPr>
          <w:lang w:eastAsia="en-GB"/>
        </w:rPr>
        <w:tab/>
        <w:t>Staff selected to be police CBRN SOR will be volunteers drawn from a range of force business areas, including collaborations. Selection will be managed to ensure force resilience is maintained in the event of training abstractions and deployments.</w:t>
      </w:r>
    </w:p>
    <w:p w14:paraId="3E688F88" w14:textId="77777777" w:rsidR="00DF7EE1" w:rsidRDefault="00DF7EE1" w:rsidP="00DF7EE1">
      <w:pPr>
        <w:tabs>
          <w:tab w:val="left" w:pos="993"/>
        </w:tabs>
        <w:ind w:left="993" w:hanging="993"/>
        <w:rPr>
          <w:lang w:eastAsia="en-GB"/>
        </w:rPr>
      </w:pPr>
      <w:r>
        <w:rPr>
          <w:lang w:eastAsia="en-GB"/>
        </w:rPr>
        <w:t>2.5.2.</w:t>
      </w:r>
      <w:r>
        <w:rPr>
          <w:lang w:eastAsia="en-GB"/>
        </w:rPr>
        <w:tab/>
        <w:t>Police CBRN SOR will be trained in accordance with the requirements set by PNCBRNC. Only course formats and trainers approved by PNCBRNC will be used to train Lincolnshire Police employed CBRN SOR, CBRN Tactical Advisors and CBRN Command Cadre members.</w:t>
      </w:r>
    </w:p>
    <w:p w14:paraId="4C572999" w14:textId="77777777" w:rsidR="00DF7EE1" w:rsidRDefault="00DF7EE1" w:rsidP="00DF7EE1">
      <w:pPr>
        <w:tabs>
          <w:tab w:val="left" w:pos="993"/>
        </w:tabs>
        <w:ind w:left="993" w:hanging="993"/>
        <w:rPr>
          <w:lang w:eastAsia="en-GB"/>
        </w:rPr>
      </w:pPr>
      <w:r>
        <w:rPr>
          <w:lang w:eastAsia="en-GB"/>
        </w:rPr>
        <w:lastRenderedPageBreak/>
        <w:t>2.5.3.</w:t>
      </w:r>
      <w:r>
        <w:rPr>
          <w:lang w:eastAsia="en-GB"/>
        </w:rPr>
        <w:tab/>
        <w:t>Lincolnshire Police employed CBRN SOR will be required to maintain their skills in line with current guidance regarding ‘Continuous Professional Development (CPD)’ issued by PNCBRNC. The decision regarding whether or not a CBRN SOR remains competent for deployment will be made by the Assistant Chief Constable. This decision will be based upon recorded consultation with relevant CBRN trainers, occupational health specialists and the current Force CBRN Coordinator.</w:t>
      </w:r>
    </w:p>
    <w:p w14:paraId="46E3C094" w14:textId="77777777" w:rsidR="00DF7EE1" w:rsidRDefault="00DF7EE1" w:rsidP="00DF7EE1">
      <w:pPr>
        <w:tabs>
          <w:tab w:val="left" w:pos="993"/>
        </w:tabs>
        <w:ind w:left="993" w:hanging="993"/>
        <w:rPr>
          <w:lang w:eastAsia="en-GB"/>
        </w:rPr>
      </w:pPr>
      <w:r>
        <w:rPr>
          <w:lang w:eastAsia="en-GB"/>
        </w:rPr>
        <w:t>2.5.4.</w:t>
      </w:r>
      <w:r>
        <w:rPr>
          <w:lang w:eastAsia="en-GB"/>
        </w:rPr>
        <w:tab/>
        <w:t>Lincolnshire Police employed CBRN SOR will be provided with access to an exercising programme that periodically allows specialist CBRN skills to be practiced in a simulated live environment alongside CBRN SOR from other responders. Where practicable this will be delivered in partnership with other local and regional responders who have an operational role in CBRN incident response in the Lincolnshire area. The exercise programme should allow each CBRN SOR to participate in at least 1 live play exercise every 3 years.</w:t>
      </w:r>
    </w:p>
    <w:p w14:paraId="2A5FBA1F" w14:textId="77777777" w:rsidR="00DF7EE1" w:rsidRDefault="00DF7EE1" w:rsidP="00DF7EE1">
      <w:pPr>
        <w:tabs>
          <w:tab w:val="left" w:pos="993"/>
        </w:tabs>
        <w:ind w:left="993" w:hanging="993"/>
        <w:rPr>
          <w:lang w:eastAsia="en-GB"/>
        </w:rPr>
      </w:pPr>
      <w:r>
        <w:rPr>
          <w:lang w:eastAsia="en-GB"/>
        </w:rPr>
        <w:t>2.5.5.</w:t>
      </w:r>
      <w:r>
        <w:rPr>
          <w:lang w:eastAsia="en-GB"/>
        </w:rPr>
        <w:tab/>
        <w:t xml:space="preserve">Staff selected will be expected to commit to the role for a period of at least 3 years. Once selected and trained a volunteer who remains fit for CBRN SOR duties, will be required to gain approval of a Chief Officer before withdrawing from the CBRN SOR Cadre prior to the expiry of the </w:t>
      </w:r>
      <w:proofErr w:type="gramStart"/>
      <w:r>
        <w:rPr>
          <w:lang w:eastAsia="en-GB"/>
        </w:rPr>
        <w:t>3 year</w:t>
      </w:r>
      <w:proofErr w:type="gramEnd"/>
      <w:r>
        <w:rPr>
          <w:lang w:eastAsia="en-GB"/>
        </w:rPr>
        <w:t xml:space="preserve"> period from initial training date.</w:t>
      </w:r>
    </w:p>
    <w:p w14:paraId="3573EE43" w14:textId="77777777" w:rsidR="00DF7EE1" w:rsidRDefault="00DF7EE1" w:rsidP="00DF7EE1">
      <w:pPr>
        <w:tabs>
          <w:tab w:val="left" w:pos="993"/>
        </w:tabs>
        <w:ind w:left="993" w:hanging="993"/>
        <w:rPr>
          <w:lang w:eastAsia="en-GB"/>
        </w:rPr>
      </w:pPr>
      <w:r>
        <w:rPr>
          <w:lang w:eastAsia="en-GB"/>
        </w:rPr>
        <w:t>2.5.6.</w:t>
      </w:r>
      <w:r>
        <w:rPr>
          <w:lang w:eastAsia="en-GB"/>
        </w:rPr>
        <w:tab/>
        <w:t>Staff selected for and regarded as available for deployment will be subject to initial then periodic health screening to ensure appropriate physical and mental fitness:</w:t>
      </w:r>
    </w:p>
    <w:p w14:paraId="3B884041" w14:textId="77777777" w:rsidR="00DF7EE1" w:rsidRDefault="00DF7EE1" w:rsidP="00DF7EE1">
      <w:pPr>
        <w:tabs>
          <w:tab w:val="left" w:pos="993"/>
        </w:tabs>
        <w:ind w:left="993" w:hanging="993"/>
        <w:rPr>
          <w:lang w:eastAsia="en-GB"/>
        </w:rPr>
      </w:pPr>
      <w:r>
        <w:rPr>
          <w:lang w:eastAsia="en-GB"/>
        </w:rPr>
        <w:t>2.5.6.1.</w:t>
      </w:r>
      <w:r>
        <w:rPr>
          <w:lang w:eastAsia="en-GB"/>
        </w:rPr>
        <w:tab/>
        <w:t>Physical fitness assessment for police CBRN SOR will be in line standard fitness testing arrangements for police officers. They must achieve 5:4 on the Standard MSFT (Shuttle). A check will be conducted immediately prior to each CPD session and / or live exercise to ensure a fitness test has been completed successfully within the last 12 months. If not, and the officer is to take part in relevant training / exercise a fitness test should be completed immediately prior to participation.</w:t>
      </w:r>
    </w:p>
    <w:p w14:paraId="619E32D2" w14:textId="57F38086" w:rsidR="00DF7EE1" w:rsidRDefault="00DF7EE1" w:rsidP="00E95A78">
      <w:pPr>
        <w:tabs>
          <w:tab w:val="left" w:pos="993"/>
        </w:tabs>
        <w:ind w:left="993" w:hanging="993"/>
        <w:rPr>
          <w:lang w:eastAsia="en-GB"/>
        </w:rPr>
      </w:pPr>
      <w:r>
        <w:rPr>
          <w:lang w:eastAsia="en-GB"/>
        </w:rPr>
        <w:t>2.5.6.2.</w:t>
      </w:r>
      <w:r>
        <w:rPr>
          <w:lang w:eastAsia="en-GB"/>
        </w:rPr>
        <w:tab/>
        <w:t xml:space="preserve">Prior to selection and immediately prior to any live exercising or deployment, CBRN SOR will be required to confirm to the relevant CBRN Operational Commander or trainer, that they remain fit for CBRN SOR duty </w:t>
      </w:r>
      <w:r>
        <w:rPr>
          <w:lang w:eastAsia="en-GB"/>
        </w:rPr>
        <w:lastRenderedPageBreak/>
        <w:t>and declare any current condition or circumstances that would render them temporarily unfit for this duty. Circumstances that will render a person temporarily unfit for these duties are:</w:t>
      </w:r>
    </w:p>
    <w:p w14:paraId="0D10886B" w14:textId="669C556D" w:rsidR="00DF7EE1" w:rsidRDefault="00DF7EE1" w:rsidP="00DF7EE1">
      <w:pPr>
        <w:pStyle w:val="ListParagraph"/>
        <w:numPr>
          <w:ilvl w:val="0"/>
          <w:numId w:val="24"/>
        </w:numPr>
        <w:tabs>
          <w:tab w:val="left" w:pos="993"/>
        </w:tabs>
        <w:rPr>
          <w:lang w:eastAsia="en-GB"/>
        </w:rPr>
      </w:pPr>
      <w:r>
        <w:rPr>
          <w:lang w:eastAsia="en-GB"/>
        </w:rPr>
        <w:t xml:space="preserve">Pregnant or Lactating </w:t>
      </w:r>
    </w:p>
    <w:p w14:paraId="4E4E3A73" w14:textId="2EA76425" w:rsidR="00DF7EE1" w:rsidRDefault="00DF7EE1" w:rsidP="00DF7EE1">
      <w:pPr>
        <w:pStyle w:val="ListParagraph"/>
        <w:numPr>
          <w:ilvl w:val="0"/>
          <w:numId w:val="24"/>
        </w:numPr>
        <w:tabs>
          <w:tab w:val="left" w:pos="993"/>
        </w:tabs>
        <w:rPr>
          <w:lang w:eastAsia="en-GB"/>
        </w:rPr>
      </w:pPr>
      <w:r>
        <w:rPr>
          <w:lang w:eastAsia="en-GB"/>
        </w:rPr>
        <w:t xml:space="preserve">Illness affecting the persons normal heart and/or lung </w:t>
      </w:r>
      <w:proofErr w:type="gramStart"/>
      <w:r>
        <w:rPr>
          <w:lang w:eastAsia="en-GB"/>
        </w:rPr>
        <w:t>function</w:t>
      </w:r>
      <w:proofErr w:type="gramEnd"/>
    </w:p>
    <w:p w14:paraId="2A2535DB" w14:textId="7937882D" w:rsidR="00DF7EE1" w:rsidRDefault="00DF7EE1" w:rsidP="00DF7EE1">
      <w:pPr>
        <w:pStyle w:val="ListParagraph"/>
        <w:numPr>
          <w:ilvl w:val="0"/>
          <w:numId w:val="24"/>
        </w:numPr>
        <w:tabs>
          <w:tab w:val="left" w:pos="993"/>
        </w:tabs>
        <w:rPr>
          <w:lang w:eastAsia="en-GB"/>
        </w:rPr>
      </w:pPr>
      <w:r>
        <w:rPr>
          <w:lang w:eastAsia="en-GB"/>
        </w:rPr>
        <w:t>Uncontrolled asthma</w:t>
      </w:r>
    </w:p>
    <w:p w14:paraId="5864E527" w14:textId="62702533" w:rsidR="00DF7EE1" w:rsidRDefault="00DF7EE1" w:rsidP="00DF7EE1">
      <w:pPr>
        <w:pStyle w:val="ListParagraph"/>
        <w:numPr>
          <w:ilvl w:val="0"/>
          <w:numId w:val="24"/>
        </w:numPr>
        <w:tabs>
          <w:tab w:val="left" w:pos="993"/>
        </w:tabs>
        <w:rPr>
          <w:lang w:eastAsia="en-GB"/>
        </w:rPr>
      </w:pPr>
      <w:r>
        <w:rPr>
          <w:lang w:eastAsia="en-GB"/>
        </w:rPr>
        <w:t>Otherwise prohibited by the Force Medical officer</w:t>
      </w:r>
    </w:p>
    <w:p w14:paraId="79BCF0AB" w14:textId="4C40607A" w:rsidR="00DF7EE1" w:rsidRDefault="00DF7EE1" w:rsidP="00DF7EE1">
      <w:pPr>
        <w:tabs>
          <w:tab w:val="left" w:pos="993"/>
        </w:tabs>
        <w:ind w:left="993" w:hanging="993"/>
        <w:rPr>
          <w:lang w:eastAsia="en-GB"/>
        </w:rPr>
      </w:pPr>
      <w:r>
        <w:rPr>
          <w:lang w:eastAsia="en-GB"/>
        </w:rPr>
        <w:t>2.5.6.3.</w:t>
      </w:r>
      <w:r>
        <w:rPr>
          <w:lang w:eastAsia="en-GB"/>
        </w:rPr>
        <w:tab/>
        <w:t>Any CBRN SOR who is unable to meet the fitness test standard being applied or who is regarded as currently not fit for CBRN SOR duty will be withdrawn from the cadre of CBRN SOR until the fitness test is passed or they are deemed fit to resume these duties.</w:t>
      </w:r>
    </w:p>
    <w:p w14:paraId="6069BC64" w14:textId="77777777" w:rsidR="00DF7EE1" w:rsidRDefault="00DF7EE1" w:rsidP="00DF7EE1">
      <w:pPr>
        <w:pStyle w:val="Heading4"/>
        <w:tabs>
          <w:tab w:val="left" w:pos="994"/>
        </w:tabs>
        <w:rPr>
          <w:lang w:eastAsia="en-GB"/>
        </w:rPr>
      </w:pPr>
      <w:r>
        <w:rPr>
          <w:lang w:eastAsia="en-GB"/>
        </w:rPr>
        <w:t>2.6.</w:t>
      </w:r>
      <w:r>
        <w:rPr>
          <w:lang w:eastAsia="en-GB"/>
        </w:rPr>
        <w:tab/>
        <w:t>Other CBRN Specialist Resources – Selection and Training</w:t>
      </w:r>
    </w:p>
    <w:p w14:paraId="536D344D" w14:textId="63A54DBF" w:rsidR="00DF7EE1" w:rsidRDefault="00DF7EE1" w:rsidP="00DF7EE1">
      <w:pPr>
        <w:tabs>
          <w:tab w:val="left" w:pos="993"/>
        </w:tabs>
        <w:ind w:left="993" w:hanging="993"/>
        <w:rPr>
          <w:lang w:eastAsia="en-GB"/>
        </w:rPr>
      </w:pPr>
      <w:r>
        <w:rPr>
          <w:lang w:eastAsia="en-GB"/>
        </w:rPr>
        <w:t>2.6.1.</w:t>
      </w:r>
      <w:r>
        <w:rPr>
          <w:lang w:eastAsia="en-GB"/>
        </w:rPr>
        <w:tab/>
        <w:t>CBRN Specialist Commanders, Tactical Advisors, Trainers, Radiation Protection Supervisors, AFOs and support staff trained to maintain CBRN PPE need not be volunteers but should be selected for deployment in these roles in line with Force Human Resources Policy. Each of the specified roles carries a mandatory training and Continuous Professional Development (CPD) requirement.</w:t>
      </w:r>
    </w:p>
    <w:p w14:paraId="1F7C3E00" w14:textId="77777777" w:rsidR="00DF7EE1" w:rsidRDefault="00DF7EE1" w:rsidP="00DF7EE1">
      <w:pPr>
        <w:tabs>
          <w:tab w:val="left" w:pos="993"/>
        </w:tabs>
        <w:ind w:left="993" w:hanging="993"/>
        <w:rPr>
          <w:lang w:eastAsia="en-GB"/>
        </w:rPr>
      </w:pPr>
      <w:r>
        <w:rPr>
          <w:lang w:eastAsia="en-GB"/>
        </w:rPr>
        <w:t>2.6.2.</w:t>
      </w:r>
      <w:r>
        <w:rPr>
          <w:lang w:eastAsia="en-GB"/>
        </w:rPr>
        <w:tab/>
        <w:t xml:space="preserve">Access to sufficient trained and equipped personnel and equipment to enable testing, </w:t>
      </w:r>
      <w:proofErr w:type="gramStart"/>
      <w:r>
        <w:rPr>
          <w:lang w:eastAsia="en-GB"/>
        </w:rPr>
        <w:t>inspection</w:t>
      </w:r>
      <w:proofErr w:type="gramEnd"/>
      <w:r>
        <w:rPr>
          <w:lang w:eastAsia="en-GB"/>
        </w:rPr>
        <w:t xml:space="preserve"> and maintenance of the CBRN specific PPE issued to CBRN SOR employed by the Force will be maintained.</w:t>
      </w:r>
    </w:p>
    <w:p w14:paraId="7C63392C" w14:textId="77777777" w:rsidR="00DF7EE1" w:rsidRDefault="00DF7EE1" w:rsidP="00DF7EE1">
      <w:pPr>
        <w:tabs>
          <w:tab w:val="left" w:pos="993"/>
        </w:tabs>
        <w:ind w:left="993" w:hanging="993"/>
        <w:rPr>
          <w:lang w:eastAsia="en-GB"/>
        </w:rPr>
      </w:pPr>
      <w:r>
        <w:rPr>
          <w:lang w:eastAsia="en-GB"/>
        </w:rPr>
        <w:t>2.6.3.</w:t>
      </w:r>
      <w:r>
        <w:rPr>
          <w:lang w:eastAsia="en-GB"/>
        </w:rPr>
        <w:tab/>
        <w:t>NPCC agreed national role profiles for all specialist police CBRN resources will be adopted and all such resources employed by Lincolnshire Police will be required to maintain compliance with these role profile requirements. Nominal details of the Lincolnshire Police employed specialist CBRN resources will be recorded on the NPOCC Mercury 4 Capability and Capacity Database as a record of those currently trained and deployable in force or via mutual aid.</w:t>
      </w:r>
    </w:p>
    <w:p w14:paraId="05954F83" w14:textId="77777777" w:rsidR="00DF7EE1" w:rsidRDefault="00DF7EE1" w:rsidP="00DF7EE1">
      <w:pPr>
        <w:tabs>
          <w:tab w:val="left" w:pos="993"/>
        </w:tabs>
        <w:ind w:left="993" w:hanging="993"/>
        <w:rPr>
          <w:lang w:eastAsia="en-GB"/>
        </w:rPr>
      </w:pPr>
      <w:r>
        <w:rPr>
          <w:lang w:eastAsia="en-GB"/>
        </w:rPr>
        <w:t>2.6.4.</w:t>
      </w:r>
      <w:r>
        <w:rPr>
          <w:lang w:eastAsia="en-GB"/>
        </w:rPr>
        <w:tab/>
        <w:t xml:space="preserve">Access will be maintained to a trained and formally appointed Radiation Protection Supervisor to provide Lincolnshire Police with relevant specialist advice and ensure compliance with ‘local rules’ applied to maintain staff </w:t>
      </w:r>
      <w:r>
        <w:rPr>
          <w:lang w:eastAsia="en-GB"/>
        </w:rPr>
        <w:lastRenderedPageBreak/>
        <w:t>and public safety in accordance with the Ionising Radiation Regulations 2017.</w:t>
      </w:r>
    </w:p>
    <w:p w14:paraId="4C181840" w14:textId="77777777" w:rsidR="00DF7EE1" w:rsidRDefault="00DF7EE1" w:rsidP="00DF7EE1">
      <w:pPr>
        <w:pStyle w:val="Heading4"/>
        <w:tabs>
          <w:tab w:val="left" w:pos="1022"/>
        </w:tabs>
        <w:rPr>
          <w:lang w:eastAsia="en-GB"/>
        </w:rPr>
      </w:pPr>
      <w:r>
        <w:rPr>
          <w:lang w:eastAsia="en-GB"/>
        </w:rPr>
        <w:t>2.7.</w:t>
      </w:r>
      <w:r>
        <w:rPr>
          <w:lang w:eastAsia="en-GB"/>
        </w:rPr>
        <w:tab/>
      </w:r>
      <w:proofErr w:type="gramStart"/>
      <w:r>
        <w:rPr>
          <w:lang w:eastAsia="en-GB"/>
        </w:rPr>
        <w:t>Non Specialist</w:t>
      </w:r>
      <w:proofErr w:type="gramEnd"/>
      <w:r>
        <w:rPr>
          <w:lang w:eastAsia="en-GB"/>
        </w:rPr>
        <w:t xml:space="preserve"> staff – Training</w:t>
      </w:r>
    </w:p>
    <w:p w14:paraId="37BFC79B" w14:textId="08A895BE" w:rsidR="00DF7EE1" w:rsidRDefault="00DF7EE1" w:rsidP="00DF7EE1">
      <w:pPr>
        <w:tabs>
          <w:tab w:val="left" w:pos="993"/>
        </w:tabs>
        <w:ind w:left="993" w:hanging="993"/>
        <w:rPr>
          <w:lang w:eastAsia="en-GB"/>
        </w:rPr>
      </w:pPr>
      <w:r>
        <w:rPr>
          <w:lang w:eastAsia="en-GB"/>
        </w:rPr>
        <w:t>2.7.1.</w:t>
      </w:r>
      <w:r>
        <w:rPr>
          <w:lang w:eastAsia="en-GB"/>
        </w:rPr>
        <w:tab/>
        <w:t>All police officers (including Special Constables), Force Control Room staff and PCSO are to be required to undertake ‘CBRN - Initial Operational Response’ training in line with the recommendations of the PNCBRNC. This training needs to be assessed in force with a QA process to ensure understanding. This training will help ensure appropriate initial action is taken by non-specialist police responders in the early stages of an incident in order to remove persons from danger and commence de-contamination and delivery of support and treatment before specialist police responders and equipment arrive at a scene.</w:t>
      </w:r>
    </w:p>
    <w:p w14:paraId="535957BB" w14:textId="77777777" w:rsidR="00DF7EE1" w:rsidRDefault="00DF7EE1" w:rsidP="00DF7EE1">
      <w:pPr>
        <w:pStyle w:val="Heading4"/>
        <w:tabs>
          <w:tab w:val="left" w:pos="980"/>
        </w:tabs>
        <w:rPr>
          <w:lang w:eastAsia="en-GB"/>
        </w:rPr>
      </w:pPr>
      <w:r>
        <w:rPr>
          <w:lang w:eastAsia="en-GB"/>
        </w:rPr>
        <w:t>2.8.</w:t>
      </w:r>
      <w:r>
        <w:rPr>
          <w:lang w:eastAsia="en-GB"/>
        </w:rPr>
        <w:tab/>
        <w:t>CBRN Specific Personal Protective Equipment</w:t>
      </w:r>
    </w:p>
    <w:p w14:paraId="585E5C88" w14:textId="66513FEA" w:rsidR="00DF7EE1" w:rsidRDefault="00DF7EE1" w:rsidP="00DF7EE1">
      <w:pPr>
        <w:tabs>
          <w:tab w:val="left" w:pos="993"/>
        </w:tabs>
        <w:ind w:left="993" w:hanging="993"/>
        <w:rPr>
          <w:lang w:eastAsia="en-GB"/>
        </w:rPr>
      </w:pPr>
      <w:r>
        <w:rPr>
          <w:lang w:eastAsia="en-GB"/>
        </w:rPr>
        <w:t>2.8.1.</w:t>
      </w:r>
      <w:r>
        <w:rPr>
          <w:lang w:eastAsia="en-GB"/>
        </w:rPr>
        <w:tab/>
        <w:t>Lincolnshire Police will only procure and issue for use CBRN related Personal Protective Equipment (PPE) which has been approved for use in guidance issued by the PNCBRNC.</w:t>
      </w:r>
    </w:p>
    <w:p w14:paraId="3710C345" w14:textId="77777777" w:rsidR="00DF7EE1" w:rsidRDefault="00DF7EE1" w:rsidP="00DF7EE1">
      <w:pPr>
        <w:tabs>
          <w:tab w:val="left" w:pos="993"/>
        </w:tabs>
        <w:ind w:left="993" w:hanging="993"/>
        <w:rPr>
          <w:lang w:eastAsia="en-GB"/>
        </w:rPr>
      </w:pPr>
      <w:r>
        <w:rPr>
          <w:lang w:eastAsia="en-GB"/>
        </w:rPr>
        <w:t>2.8.2.</w:t>
      </w:r>
      <w:r>
        <w:rPr>
          <w:lang w:eastAsia="en-GB"/>
        </w:rPr>
        <w:tab/>
        <w:t xml:space="preserve">Adequate and appropriate storage facilities for the PPE and other operational equipment necessary to enable the safe deployment of CBRN resources will be provided and maintained. As a minimum this includes dry, heated storage sufficient to contain a minimum of 25 sets of ‘live PRPS PPE’ and related de-contamination and scene management equipment. In </w:t>
      </w:r>
      <w:proofErr w:type="gramStart"/>
      <w:r>
        <w:rPr>
          <w:lang w:eastAsia="en-GB"/>
        </w:rPr>
        <w:t>addition</w:t>
      </w:r>
      <w:proofErr w:type="gramEnd"/>
      <w:r>
        <w:rPr>
          <w:lang w:eastAsia="en-GB"/>
        </w:rPr>
        <w:t xml:space="preserve"> appropriate storage for 20 sets of ‘training PPE’ will be provided at a suitable location within the county. Appropriate storage for AFO NexGen PPE is required at AFO base </w:t>
      </w:r>
      <w:proofErr w:type="gramStart"/>
      <w:r>
        <w:rPr>
          <w:lang w:eastAsia="en-GB"/>
        </w:rPr>
        <w:t>locations</w:t>
      </w:r>
      <w:proofErr w:type="gramEnd"/>
      <w:r>
        <w:rPr>
          <w:lang w:eastAsia="en-GB"/>
        </w:rPr>
        <w:t xml:space="preserve"> </w:t>
      </w:r>
    </w:p>
    <w:p w14:paraId="191FFD32" w14:textId="560DF243" w:rsidR="00DF7EE1" w:rsidRDefault="00DF7EE1" w:rsidP="00DF7EE1">
      <w:pPr>
        <w:tabs>
          <w:tab w:val="left" w:pos="993"/>
        </w:tabs>
        <w:ind w:left="993" w:hanging="993"/>
        <w:rPr>
          <w:lang w:eastAsia="en-GB"/>
        </w:rPr>
      </w:pPr>
      <w:r>
        <w:rPr>
          <w:lang w:eastAsia="en-GB"/>
        </w:rPr>
        <w:t>2.8.3.</w:t>
      </w:r>
      <w:r>
        <w:rPr>
          <w:lang w:eastAsia="en-GB"/>
        </w:rPr>
        <w:tab/>
        <w:t>Access to supply sources for CBRN PPE via suppliers approved by PNCBRNC will be maintained.</w:t>
      </w:r>
    </w:p>
    <w:p w14:paraId="7B411372" w14:textId="77777777" w:rsidR="00DF7EE1" w:rsidRDefault="00DF7EE1" w:rsidP="00DF7EE1">
      <w:pPr>
        <w:pStyle w:val="Heading4"/>
        <w:tabs>
          <w:tab w:val="left" w:pos="980"/>
        </w:tabs>
        <w:rPr>
          <w:lang w:eastAsia="en-GB"/>
        </w:rPr>
      </w:pPr>
      <w:r>
        <w:rPr>
          <w:lang w:eastAsia="en-GB"/>
        </w:rPr>
        <w:t>2.9.</w:t>
      </w:r>
      <w:r>
        <w:rPr>
          <w:lang w:eastAsia="en-GB"/>
        </w:rPr>
        <w:tab/>
        <w:t>Other CBRN Specific Equipment</w:t>
      </w:r>
    </w:p>
    <w:p w14:paraId="0A93E3AB" w14:textId="77777777" w:rsidR="00DF7EE1" w:rsidRDefault="00DF7EE1" w:rsidP="00DF7EE1">
      <w:pPr>
        <w:tabs>
          <w:tab w:val="left" w:pos="993"/>
        </w:tabs>
        <w:ind w:left="993" w:hanging="993"/>
        <w:rPr>
          <w:lang w:eastAsia="en-GB"/>
        </w:rPr>
      </w:pPr>
      <w:r>
        <w:rPr>
          <w:lang w:eastAsia="en-GB"/>
        </w:rPr>
        <w:t>2.9.1.</w:t>
      </w:r>
      <w:r>
        <w:rPr>
          <w:lang w:eastAsia="en-GB"/>
        </w:rPr>
        <w:tab/>
        <w:t xml:space="preserve">Access to a vehicle and drivers capable of supporting deployment of CBRN Scene Management Barriers and CBRN Public Communications System </w:t>
      </w:r>
      <w:r>
        <w:rPr>
          <w:lang w:eastAsia="en-GB"/>
        </w:rPr>
        <w:lastRenderedPageBreak/>
        <w:t>stored within East Midlands in accordance with relevant Force ‘Drivers Policy’ will be maintained.</w:t>
      </w:r>
    </w:p>
    <w:p w14:paraId="75AD7693" w14:textId="5ADA8009" w:rsidR="00DF7EE1" w:rsidRDefault="00DF7EE1" w:rsidP="00DF7EE1">
      <w:pPr>
        <w:tabs>
          <w:tab w:val="left" w:pos="993"/>
        </w:tabs>
        <w:ind w:left="993" w:hanging="993"/>
        <w:rPr>
          <w:lang w:eastAsia="en-GB"/>
        </w:rPr>
      </w:pPr>
      <w:r>
        <w:rPr>
          <w:lang w:eastAsia="en-GB"/>
        </w:rPr>
        <w:t>2.9.2.</w:t>
      </w:r>
      <w:r>
        <w:rPr>
          <w:lang w:eastAsia="en-GB"/>
        </w:rPr>
        <w:tab/>
        <w:t>Immediate access to police livery motor vehicles, with audible warning instruments and blue flashing lights designed to enable safe carriage of operational CBRN PPE for 1 PSU strength unit of CBRN SOR will be maintained. These are to be stored at the Lincolnshire Police HQ site. A minimum of two of these must be fitted with a towbar and related trailer lighting electrical sockets to enable towing of the PNCBRNC provided PRPS Equipment trailer.</w:t>
      </w:r>
    </w:p>
    <w:p w14:paraId="2AE3B8DE" w14:textId="0767CE06" w:rsidR="001A020E" w:rsidRDefault="001A020E" w:rsidP="0090198B">
      <w:pPr>
        <w:pStyle w:val="Heading2"/>
        <w:tabs>
          <w:tab w:val="left" w:pos="993"/>
        </w:tabs>
        <w:ind w:left="993" w:hanging="993"/>
        <w:rPr>
          <w:lang w:eastAsia="en-GB"/>
        </w:rPr>
      </w:pPr>
      <w:r>
        <w:rPr>
          <w:lang w:eastAsia="en-GB"/>
        </w:rPr>
        <w:t xml:space="preserve">3. </w:t>
      </w:r>
      <w:r w:rsidR="0051530F">
        <w:rPr>
          <w:lang w:eastAsia="en-GB"/>
        </w:rPr>
        <w:tab/>
      </w:r>
      <w:r>
        <w:rPr>
          <w:lang w:eastAsia="en-GB"/>
        </w:rPr>
        <w:t>Other related documents and appendices</w:t>
      </w:r>
    </w:p>
    <w:p w14:paraId="7D37D61D" w14:textId="11E6AF63"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DF7EE1">
        <w:rPr>
          <w:lang w:eastAsia="en-GB"/>
        </w:rPr>
        <w:t>Related documents</w:t>
      </w:r>
    </w:p>
    <w:p w14:paraId="77CFB7D7" w14:textId="77777777" w:rsidR="00DF7EE1" w:rsidRPr="00DF7EE1" w:rsidRDefault="00DF7EE1" w:rsidP="00DF7EE1">
      <w:pPr>
        <w:pStyle w:val="ListParagraph"/>
        <w:numPr>
          <w:ilvl w:val="0"/>
          <w:numId w:val="19"/>
        </w:numPr>
        <w:tabs>
          <w:tab w:val="left" w:pos="993"/>
        </w:tabs>
        <w:ind w:left="1843"/>
        <w:rPr>
          <w:lang w:eastAsia="en-GB"/>
        </w:rPr>
      </w:pPr>
      <w:r w:rsidRPr="00DF7EE1">
        <w:rPr>
          <w:lang w:eastAsia="en-GB"/>
        </w:rPr>
        <w:t>Health and Safety Policy</w:t>
      </w:r>
    </w:p>
    <w:p w14:paraId="76CCBBFF" w14:textId="77777777" w:rsidR="00DF7EE1" w:rsidRPr="00DF7EE1" w:rsidRDefault="00DF7EE1" w:rsidP="00DF7EE1">
      <w:pPr>
        <w:pStyle w:val="ListParagraph"/>
        <w:numPr>
          <w:ilvl w:val="0"/>
          <w:numId w:val="19"/>
        </w:numPr>
        <w:tabs>
          <w:tab w:val="left" w:pos="993"/>
        </w:tabs>
        <w:ind w:left="1843"/>
        <w:rPr>
          <w:lang w:eastAsia="en-GB"/>
        </w:rPr>
      </w:pPr>
      <w:r w:rsidRPr="00DF7EE1">
        <w:rPr>
          <w:lang w:eastAsia="en-GB"/>
        </w:rPr>
        <w:t>Drivers Policy</w:t>
      </w:r>
    </w:p>
    <w:p w14:paraId="27552072" w14:textId="77777777" w:rsidR="00DF7EE1" w:rsidRPr="00DF7EE1" w:rsidRDefault="00DF7EE1" w:rsidP="00DF7EE1">
      <w:pPr>
        <w:pStyle w:val="ListParagraph"/>
        <w:numPr>
          <w:ilvl w:val="0"/>
          <w:numId w:val="19"/>
        </w:numPr>
        <w:tabs>
          <w:tab w:val="left" w:pos="993"/>
        </w:tabs>
        <w:ind w:left="1843"/>
        <w:rPr>
          <w:lang w:eastAsia="en-GB"/>
        </w:rPr>
      </w:pPr>
      <w:r w:rsidRPr="00DF7EE1">
        <w:rPr>
          <w:lang w:eastAsia="en-GB"/>
        </w:rPr>
        <w:t>HR Policy</w:t>
      </w:r>
    </w:p>
    <w:p w14:paraId="07CA842B" w14:textId="77777777" w:rsidR="00DF7EE1" w:rsidRPr="00DF7EE1" w:rsidRDefault="00DF7EE1" w:rsidP="00DF7EE1">
      <w:pPr>
        <w:pStyle w:val="ListParagraph"/>
        <w:numPr>
          <w:ilvl w:val="0"/>
          <w:numId w:val="19"/>
        </w:numPr>
        <w:tabs>
          <w:tab w:val="left" w:pos="993"/>
        </w:tabs>
        <w:ind w:left="1843"/>
        <w:rPr>
          <w:lang w:eastAsia="en-GB"/>
        </w:rPr>
      </w:pPr>
      <w:r w:rsidRPr="00DF7EE1">
        <w:rPr>
          <w:lang w:eastAsia="en-GB"/>
        </w:rPr>
        <w:t>Personal Safety Training Policy</w:t>
      </w:r>
    </w:p>
    <w:p w14:paraId="7F3D156C" w14:textId="77777777" w:rsidR="00DF7EE1" w:rsidRPr="00DF7EE1" w:rsidRDefault="00DF7EE1" w:rsidP="00DF7EE1">
      <w:pPr>
        <w:pStyle w:val="ListParagraph"/>
        <w:numPr>
          <w:ilvl w:val="0"/>
          <w:numId w:val="19"/>
        </w:numPr>
        <w:tabs>
          <w:tab w:val="left" w:pos="993"/>
        </w:tabs>
        <w:ind w:left="1843"/>
        <w:rPr>
          <w:lang w:eastAsia="en-GB"/>
        </w:rPr>
      </w:pPr>
      <w:r w:rsidRPr="00DF7EE1">
        <w:rPr>
          <w:lang w:eastAsia="en-GB"/>
        </w:rPr>
        <w:t>Fleet Strategy</w:t>
      </w:r>
    </w:p>
    <w:p w14:paraId="656BCC17" w14:textId="77777777" w:rsidR="00DF7EE1" w:rsidRPr="00DF7EE1" w:rsidRDefault="00DF7EE1" w:rsidP="00DF7EE1">
      <w:pPr>
        <w:pStyle w:val="ListParagraph"/>
        <w:numPr>
          <w:ilvl w:val="0"/>
          <w:numId w:val="19"/>
        </w:numPr>
        <w:tabs>
          <w:tab w:val="left" w:pos="993"/>
        </w:tabs>
        <w:ind w:left="1843"/>
        <w:rPr>
          <w:lang w:eastAsia="en-GB"/>
        </w:rPr>
      </w:pPr>
      <w:r w:rsidRPr="00DF7EE1">
        <w:rPr>
          <w:lang w:eastAsia="en-GB"/>
        </w:rPr>
        <w:t>Regional Policy / Strategies</w:t>
      </w:r>
    </w:p>
    <w:p w14:paraId="59E315FF" w14:textId="738171EF" w:rsidR="00DF7EE1" w:rsidRDefault="00DF7EE1" w:rsidP="00DF7EE1">
      <w:pPr>
        <w:pStyle w:val="ListParagraph"/>
        <w:numPr>
          <w:ilvl w:val="0"/>
          <w:numId w:val="19"/>
        </w:numPr>
        <w:tabs>
          <w:tab w:val="left" w:pos="993"/>
        </w:tabs>
        <w:ind w:left="1843"/>
        <w:rPr>
          <w:lang w:eastAsia="en-GB"/>
        </w:rPr>
      </w:pPr>
      <w:r w:rsidRPr="00DF7EE1">
        <w:rPr>
          <w:lang w:eastAsia="en-GB"/>
        </w:rPr>
        <w:t>Overarching Firearms Policy</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392FAD67" w14:textId="54F20E69" w:rsidR="001A020E" w:rsidRDefault="001A020E" w:rsidP="0090198B">
      <w:pPr>
        <w:tabs>
          <w:tab w:val="left" w:pos="993"/>
        </w:tabs>
        <w:ind w:left="993" w:hanging="993"/>
        <w:rPr>
          <w:lang w:eastAsia="en-GB"/>
        </w:rPr>
      </w:pPr>
      <w:r>
        <w:rPr>
          <w:lang w:eastAsia="en-GB"/>
        </w:rPr>
        <w:t xml:space="preserve">4.1 </w:t>
      </w:r>
      <w:r w:rsidR="0051530F">
        <w:rPr>
          <w:lang w:eastAsia="en-GB"/>
        </w:rPr>
        <w:tab/>
      </w:r>
      <w:r w:rsidR="00DF7EE1" w:rsidRPr="003E6F07">
        <w:rPr>
          <w:rFonts w:cs="Arial"/>
          <w:color w:val="000000"/>
        </w:rPr>
        <w:t>The policy will be subject to periodic review by the Emergency Planning Officer as scheduled after 2 years or in the event of significant change to risk levels of related regional or national policy and practice.</w:t>
      </w:r>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3E7DF2B2" w14:textId="160A47B4" w:rsidR="00C143E8" w:rsidRDefault="001A020E" w:rsidP="00430A86">
      <w:pPr>
        <w:tabs>
          <w:tab w:val="left" w:pos="993"/>
        </w:tabs>
        <w:ind w:left="993" w:hanging="993"/>
        <w:rPr>
          <w:lang w:eastAsia="en-GB"/>
        </w:rPr>
      </w:pPr>
      <w:r>
        <w:rPr>
          <w:lang w:eastAsia="en-GB"/>
        </w:rPr>
        <w:t xml:space="preserve">5.1. </w:t>
      </w:r>
      <w:r w:rsidR="0051530F">
        <w:rPr>
          <w:lang w:eastAsia="en-GB"/>
        </w:rPr>
        <w:tab/>
      </w:r>
      <w:r w:rsidR="00DF7EE1" w:rsidRPr="00DF7EE1">
        <w:rPr>
          <w:lang w:eastAsia="en-GB"/>
        </w:rPr>
        <w:t xml:space="preserve">This policy is owned by the Head of Specialist Operations.  Any enquires about this policy should be directed to the CBRN Coordinator, PC Jeff Sibson, 01522 9(47322), </w:t>
      </w:r>
      <w:hyperlink r:id="rId16" w:history="1">
        <w:r w:rsidR="00ED6DA6" w:rsidRPr="000E58E4">
          <w:rPr>
            <w:rStyle w:val="Hyperlink"/>
            <w:lang w:eastAsia="en-GB"/>
          </w:rPr>
          <w:t>jeffery.sibson@lincs.police.uk</w:t>
        </w:r>
      </w:hyperlink>
      <w:r w:rsidR="00DF7EE1" w:rsidRPr="00DF7EE1">
        <w:rPr>
          <w:lang w:eastAsia="en-GB"/>
        </w:rPr>
        <w:t>.</w:t>
      </w:r>
      <w:r w:rsidR="00DF7EE1">
        <w:rPr>
          <w:lang w:eastAsia="en-GB"/>
        </w:rPr>
        <w:t xml:space="preserve"> </w:t>
      </w:r>
    </w:p>
    <w:p w14:paraId="7CDC15D6" w14:textId="77777777" w:rsidR="00C143E8" w:rsidRDefault="00C143E8" w:rsidP="0051530F">
      <w:pPr>
        <w:tabs>
          <w:tab w:val="left" w:pos="851"/>
        </w:tabs>
        <w:ind w:left="851" w:hanging="851"/>
        <w:rPr>
          <w:lang w:eastAsia="en-GB"/>
        </w:rPr>
        <w:sectPr w:rsidR="00C143E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p>
    <w:p w14:paraId="223EAFF3" w14:textId="1ED20AA6" w:rsidR="00C143E8" w:rsidRDefault="00C143E8" w:rsidP="00BB4BB6">
      <w:pPr>
        <w:pStyle w:val="Heading2"/>
      </w:pPr>
      <w:r>
        <w:lastRenderedPageBreak/>
        <w:t>P</w:t>
      </w:r>
      <w:r w:rsidR="0082369F">
        <w:t>ro-forma for the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w:t>
      </w:r>
      <w:proofErr w:type="gramStart"/>
      <w:r w:rsidRPr="00C143E8">
        <w:t>case</w:t>
      </w:r>
      <w:proofErr w:type="gramEnd"/>
      <w:r w:rsidRPr="00C143E8">
        <w:t xml:space="preserve">  </w:t>
      </w:r>
    </w:p>
    <w:p w14:paraId="52395E9B" w14:textId="77777777" w:rsidR="00C143E8" w:rsidRPr="00C143E8" w:rsidRDefault="00C143E8" w:rsidP="00C143E8">
      <w:pPr>
        <w:pStyle w:val="ListParagraph"/>
        <w:numPr>
          <w:ilvl w:val="0"/>
          <w:numId w:val="16"/>
        </w:numPr>
      </w:pPr>
      <w:r w:rsidRPr="00C143E8">
        <w:t xml:space="preserve">a business </w:t>
      </w:r>
      <w:proofErr w:type="gramStart"/>
      <w:r w:rsidRPr="00C143E8">
        <w:t>plan</w:t>
      </w:r>
      <w:proofErr w:type="gramEnd"/>
      <w:r w:rsidRPr="00C143E8">
        <w:t xml:space="preserve">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 xml:space="preserve">a decision to implement a </w:t>
      </w:r>
      <w:proofErr w:type="gramStart"/>
      <w:r w:rsidRPr="00C143E8">
        <w:t>service</w:t>
      </w:r>
      <w:proofErr w:type="gramEnd"/>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2D52AD88" w:rsidR="00C143E8" w:rsidRPr="00C143E8" w:rsidRDefault="00DF7EE1" w:rsidP="00C143E8">
            <w:pPr>
              <w:spacing w:after="0" w:line="240" w:lineRule="auto"/>
              <w:rPr>
                <w:rFonts w:cs="Arial"/>
              </w:rPr>
            </w:pPr>
            <w:r>
              <w:rPr>
                <w:rFonts w:cs="Arial"/>
              </w:rPr>
              <w:t>EMOPPS</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675D7A97" w:rsidR="00C143E8" w:rsidRPr="00C143E8" w:rsidRDefault="00DF7EE1" w:rsidP="00C143E8">
            <w:pPr>
              <w:spacing w:after="0" w:line="240" w:lineRule="auto"/>
              <w:rPr>
                <w:rFonts w:cs="Arial"/>
              </w:rPr>
            </w:pPr>
            <w:r>
              <w:rPr>
                <w:rFonts w:cs="Arial"/>
              </w:rPr>
              <w:t>Emergency Planning</w:t>
            </w: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7E2187A3" w:rsidR="00C143E8" w:rsidRPr="00C143E8" w:rsidRDefault="00DF7EE1" w:rsidP="00C143E8">
            <w:pPr>
              <w:spacing w:after="0" w:line="240" w:lineRule="auto"/>
              <w:rPr>
                <w:rFonts w:cs="Arial"/>
              </w:rPr>
            </w:pPr>
            <w:r>
              <w:rPr>
                <w:rFonts w:cs="Arial"/>
              </w:rPr>
              <w:t>Ian Watkins</w:t>
            </w:r>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0A1D78E3" w:rsidR="00C143E8" w:rsidRPr="00C143E8" w:rsidRDefault="00DF7EE1" w:rsidP="00C143E8">
            <w:pPr>
              <w:spacing w:after="0" w:line="240" w:lineRule="auto"/>
              <w:rPr>
                <w:rFonts w:cs="Arial"/>
              </w:rPr>
            </w:pPr>
            <w:r>
              <w:rPr>
                <w:rFonts w:cs="Arial"/>
              </w:rPr>
              <w:t>CBRN policy</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5B09ACDD" w:rsidR="00C143E8" w:rsidRPr="00C143E8" w:rsidRDefault="00DF7EE1" w:rsidP="00C143E8">
            <w:pPr>
              <w:spacing w:after="0" w:line="240" w:lineRule="auto"/>
              <w:rPr>
                <w:rFonts w:cs="Arial"/>
              </w:rPr>
            </w:pPr>
            <w:r>
              <w:rPr>
                <w:rFonts w:cs="Arial"/>
              </w:rPr>
              <w:t>June 202</w:t>
            </w:r>
            <w:r w:rsidR="00D4432B">
              <w:rPr>
                <w:rFonts w:cs="Arial"/>
              </w:rPr>
              <w:t>4</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4A4E1648" w:rsidR="00C143E8" w:rsidRPr="00C143E8" w:rsidRDefault="00DF7EE1" w:rsidP="00C143E8">
            <w:pPr>
              <w:spacing w:after="0" w:line="240" w:lineRule="auto"/>
              <w:rPr>
                <w:rFonts w:cs="Arial"/>
              </w:rPr>
            </w:pPr>
            <w:r>
              <w:rPr>
                <w:rFonts w:cs="Arial"/>
              </w:rPr>
              <w:t>Existing</w:t>
            </w:r>
          </w:p>
        </w:tc>
      </w:tr>
    </w:tbl>
    <w:p w14:paraId="6DD8466C" w14:textId="77777777" w:rsidR="00C143E8" w:rsidRDefault="00C143E8" w:rsidP="00C143E8">
      <w:pPr>
        <w:rPr>
          <w:rFonts w:cs="Arial"/>
          <w:b/>
          <w:bCs/>
          <w:sz w:val="28"/>
        </w:rPr>
      </w:pPr>
    </w:p>
    <w:tbl>
      <w:tblPr>
        <w:tblStyle w:val="TableGrid"/>
        <w:tblW w:w="14029" w:type="dxa"/>
        <w:tblLook w:val="0000" w:firstRow="0" w:lastRow="0" w:firstColumn="0" w:lastColumn="0" w:noHBand="0" w:noVBand="0"/>
      </w:tblPr>
      <w:tblGrid>
        <w:gridCol w:w="5240"/>
        <w:gridCol w:w="8789"/>
      </w:tblGrid>
      <w:tr w:rsidR="00E24C76" w14:paraId="53BFD258" w14:textId="77777777" w:rsidTr="00E24C76">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DF7EE1" w14:paraId="6D36C3A5" w14:textId="77777777" w:rsidTr="007E05CE">
        <w:trPr>
          <w:trHeight w:val="830"/>
        </w:trPr>
        <w:tc>
          <w:tcPr>
            <w:tcW w:w="5240" w:type="dxa"/>
          </w:tcPr>
          <w:p w14:paraId="4F3F354A" w14:textId="77777777" w:rsidR="00DF7EE1" w:rsidRDefault="00DF7EE1" w:rsidP="00DF7EE1">
            <w:pPr>
              <w:rPr>
                <w:rFonts w:cs="Arial"/>
              </w:rPr>
            </w:pPr>
            <w:r>
              <w:rPr>
                <w:rFonts w:cs="Arial"/>
              </w:rPr>
              <w:t xml:space="preserve">1. Briefly describe the aims, </w:t>
            </w:r>
            <w:proofErr w:type="gramStart"/>
            <w:r>
              <w:rPr>
                <w:rFonts w:cs="Arial"/>
              </w:rPr>
              <w:t>objectives</w:t>
            </w:r>
            <w:proofErr w:type="gramEnd"/>
            <w:r>
              <w:rPr>
                <w:rFonts w:cs="Arial"/>
              </w:rPr>
              <w:t xml:space="preserve"> and purpose of the policy.</w:t>
            </w:r>
          </w:p>
        </w:tc>
        <w:tc>
          <w:tcPr>
            <w:tcW w:w="8789" w:type="dxa"/>
          </w:tcPr>
          <w:p w14:paraId="46EC2AE7" w14:textId="776491AE" w:rsidR="00DF7EE1" w:rsidRPr="00A07A74" w:rsidRDefault="00DF7EE1" w:rsidP="00DF7EE1">
            <w:pPr>
              <w:rPr>
                <w:color w:val="auto"/>
              </w:rPr>
            </w:pPr>
            <w:r w:rsidRPr="00AC538D">
              <w:rPr>
                <w:lang w:eastAsia="en-GB"/>
              </w:rPr>
              <w:t>To set out how Lincolnshire Police will meet their legal duties, national government directives and agreed commitments to National Police Chiefs Council and other responder organisations with respect to mitigating the risks posed by Chemical, Biological, Radiological and Nuclear (CBRN) incidents.</w:t>
            </w:r>
          </w:p>
        </w:tc>
      </w:tr>
      <w:tr w:rsidR="00DF7EE1" w14:paraId="5F7AE491" w14:textId="77777777" w:rsidTr="007E05CE">
        <w:trPr>
          <w:trHeight w:val="984"/>
        </w:trPr>
        <w:tc>
          <w:tcPr>
            <w:tcW w:w="5240" w:type="dxa"/>
          </w:tcPr>
          <w:p w14:paraId="68FC8813" w14:textId="44968C5C" w:rsidR="00DF7EE1" w:rsidRDefault="00DF7EE1" w:rsidP="00DF7EE1">
            <w:pPr>
              <w:rPr>
                <w:rFonts w:cs="Arial"/>
              </w:rPr>
            </w:pPr>
            <w:r>
              <w:rPr>
                <w:rFonts w:cs="Arial"/>
              </w:rPr>
              <w:t>2. Are there any associated objectives of the policy? Please explain.</w:t>
            </w:r>
          </w:p>
        </w:tc>
        <w:tc>
          <w:tcPr>
            <w:tcW w:w="8789" w:type="dxa"/>
          </w:tcPr>
          <w:p w14:paraId="6835BEB0" w14:textId="77777777" w:rsidR="00DF7EE1" w:rsidRPr="00AC538D" w:rsidRDefault="00DF7EE1" w:rsidP="00DF7EE1">
            <w:r w:rsidRPr="00AC538D">
              <w:t>No.</w:t>
            </w:r>
          </w:p>
          <w:p w14:paraId="1FA386E6" w14:textId="77777777" w:rsidR="00DF7EE1" w:rsidRPr="00A07A74" w:rsidRDefault="00DF7EE1" w:rsidP="00DF7EE1">
            <w:pPr>
              <w:rPr>
                <w:color w:val="auto"/>
              </w:rPr>
            </w:pPr>
          </w:p>
        </w:tc>
      </w:tr>
      <w:tr w:rsidR="00DF7EE1" w14:paraId="6AA1F7FB" w14:textId="77777777" w:rsidTr="007E05CE">
        <w:trPr>
          <w:trHeight w:val="980"/>
        </w:trPr>
        <w:tc>
          <w:tcPr>
            <w:tcW w:w="5240" w:type="dxa"/>
          </w:tcPr>
          <w:p w14:paraId="089F85AA" w14:textId="5E938D0C" w:rsidR="00DF7EE1" w:rsidRDefault="00DF7EE1" w:rsidP="00DF7EE1">
            <w:pPr>
              <w:rPr>
                <w:rFonts w:cs="Arial"/>
              </w:rPr>
            </w:pPr>
            <w:r>
              <w:rPr>
                <w:rFonts w:cs="Arial"/>
              </w:rPr>
              <w:t>3. Who is intended to benefit from the policy and in what way?</w:t>
            </w:r>
          </w:p>
        </w:tc>
        <w:tc>
          <w:tcPr>
            <w:tcW w:w="8789" w:type="dxa"/>
          </w:tcPr>
          <w:p w14:paraId="6AD78F51" w14:textId="70E15727" w:rsidR="00DF7EE1" w:rsidRPr="00A07A74" w:rsidRDefault="00DF7EE1" w:rsidP="00DF7EE1">
            <w:pPr>
              <w:rPr>
                <w:color w:val="auto"/>
              </w:rPr>
            </w:pPr>
            <w:r w:rsidRPr="00E71738">
              <w:t>Chief Officers, CBRN Specialist Responders by having clarity regarding force arrangements. Service users by ensuring effective CBRN capability is in place.</w:t>
            </w:r>
          </w:p>
        </w:tc>
      </w:tr>
      <w:tr w:rsidR="00DF7EE1" w14:paraId="57592598" w14:textId="77777777" w:rsidTr="007E05CE">
        <w:trPr>
          <w:trHeight w:val="648"/>
        </w:trPr>
        <w:tc>
          <w:tcPr>
            <w:tcW w:w="5240" w:type="dxa"/>
          </w:tcPr>
          <w:p w14:paraId="62B34534" w14:textId="5D96E737" w:rsidR="00DF7EE1" w:rsidRDefault="00DF7EE1" w:rsidP="00DF7EE1">
            <w:pPr>
              <w:rPr>
                <w:rFonts w:cs="Arial"/>
              </w:rPr>
            </w:pPr>
            <w:r>
              <w:rPr>
                <w:rFonts w:cs="Arial"/>
              </w:rPr>
              <w:t>4. What outcomes are wanted from this policy?</w:t>
            </w:r>
          </w:p>
        </w:tc>
        <w:tc>
          <w:tcPr>
            <w:tcW w:w="8789" w:type="dxa"/>
          </w:tcPr>
          <w:p w14:paraId="1272C0BF" w14:textId="0FD95E9E" w:rsidR="00DF7EE1" w:rsidRPr="00A07A74" w:rsidRDefault="00DF7EE1" w:rsidP="00DF7EE1">
            <w:pPr>
              <w:rPr>
                <w:color w:val="auto"/>
                <w:szCs w:val="22"/>
              </w:rPr>
            </w:pPr>
            <w:r>
              <w:t xml:space="preserve">Clarity about </w:t>
            </w:r>
            <w:r w:rsidRPr="00CE580B">
              <w:t>how Lincolnshire Police will meet their legal duties, national government directives and agreed commitments to National Police Chiefs Council and other responder organisations with respect to mitigating the risks posed by Chemical, Biological, Radiological and Nuclear (CBRN) incidents.</w:t>
            </w:r>
          </w:p>
        </w:tc>
      </w:tr>
      <w:tr w:rsidR="00DF7EE1" w14:paraId="4254949C" w14:textId="77777777" w:rsidTr="007E05CE">
        <w:trPr>
          <w:trHeight w:val="705"/>
        </w:trPr>
        <w:tc>
          <w:tcPr>
            <w:tcW w:w="5240" w:type="dxa"/>
          </w:tcPr>
          <w:p w14:paraId="120419A1" w14:textId="01310B5E" w:rsidR="00DF7EE1" w:rsidRDefault="00DF7EE1" w:rsidP="00DF7EE1">
            <w:pPr>
              <w:rPr>
                <w:rFonts w:cs="Arial"/>
              </w:rPr>
            </w:pPr>
            <w:r>
              <w:rPr>
                <w:rFonts w:cs="Arial"/>
              </w:rPr>
              <w:t>5. What factors/forces could contribute/detract from the outcomes?</w:t>
            </w:r>
          </w:p>
        </w:tc>
        <w:tc>
          <w:tcPr>
            <w:tcW w:w="8789" w:type="dxa"/>
          </w:tcPr>
          <w:p w14:paraId="4257EE0F" w14:textId="210F9929" w:rsidR="00DF7EE1" w:rsidRPr="00A07A74" w:rsidRDefault="00DF7EE1" w:rsidP="00DF7EE1">
            <w:pPr>
              <w:rPr>
                <w:color w:val="auto"/>
                <w:szCs w:val="22"/>
              </w:rPr>
            </w:pPr>
            <w:r w:rsidRPr="00AC538D">
              <w:t xml:space="preserve">Failure to apply policy. </w:t>
            </w:r>
          </w:p>
        </w:tc>
      </w:tr>
      <w:tr w:rsidR="00DF7EE1" w14:paraId="21DFCB50" w14:textId="77777777" w:rsidTr="007E05CE">
        <w:trPr>
          <w:trHeight w:val="892"/>
        </w:trPr>
        <w:tc>
          <w:tcPr>
            <w:tcW w:w="5240" w:type="dxa"/>
          </w:tcPr>
          <w:p w14:paraId="47C00E36" w14:textId="518DB538" w:rsidR="00DF7EE1" w:rsidRDefault="00DF7EE1" w:rsidP="00DF7EE1">
            <w:pPr>
              <w:rPr>
                <w:rFonts w:cs="Arial"/>
              </w:rPr>
            </w:pPr>
            <w:r>
              <w:rPr>
                <w:rFonts w:cs="Arial"/>
              </w:rPr>
              <w:t>6. Who are the main stakeholders in relation to the Policy?</w:t>
            </w:r>
          </w:p>
        </w:tc>
        <w:tc>
          <w:tcPr>
            <w:tcW w:w="8789" w:type="dxa"/>
          </w:tcPr>
          <w:p w14:paraId="2DEE1671" w14:textId="6E73717D" w:rsidR="00DF7EE1" w:rsidRPr="00A07A74" w:rsidRDefault="00DF7EE1" w:rsidP="00DF7EE1">
            <w:pPr>
              <w:rPr>
                <w:color w:val="auto"/>
              </w:rPr>
            </w:pPr>
            <w:r>
              <w:t>Chief Officers, CBRN Specialist Responders, other agency CBRN Responders.</w:t>
            </w:r>
          </w:p>
        </w:tc>
      </w:tr>
      <w:tr w:rsidR="00DF7EE1" w14:paraId="3370BA04" w14:textId="77777777" w:rsidTr="007E05CE">
        <w:trPr>
          <w:trHeight w:val="758"/>
        </w:trPr>
        <w:tc>
          <w:tcPr>
            <w:tcW w:w="5240" w:type="dxa"/>
          </w:tcPr>
          <w:p w14:paraId="218782DF" w14:textId="446DF54B" w:rsidR="00DF7EE1" w:rsidRDefault="00DF7EE1" w:rsidP="00DF7EE1">
            <w:pPr>
              <w:rPr>
                <w:rFonts w:cs="Arial"/>
              </w:rPr>
            </w:pPr>
            <w:r>
              <w:rPr>
                <w:rFonts w:cs="Arial"/>
              </w:rPr>
              <w:t>7. Who implements the policy and who is responsible for the activity?</w:t>
            </w:r>
          </w:p>
        </w:tc>
        <w:tc>
          <w:tcPr>
            <w:tcW w:w="8789" w:type="dxa"/>
          </w:tcPr>
          <w:p w14:paraId="66B47170" w14:textId="5DD5C012" w:rsidR="00DF7EE1" w:rsidRPr="00A07A74" w:rsidRDefault="00DF7EE1" w:rsidP="00DF7EE1">
            <w:r w:rsidRPr="00E71738">
              <w:t>Emergency Planning Officer, Chief Officers, CBRN Coordinator.</w:t>
            </w:r>
          </w:p>
        </w:tc>
      </w:tr>
      <w:tr w:rsidR="00DF7EE1" w14:paraId="1635A48F" w14:textId="77777777" w:rsidTr="007E05CE">
        <w:trPr>
          <w:trHeight w:val="1116"/>
        </w:trPr>
        <w:tc>
          <w:tcPr>
            <w:tcW w:w="5240" w:type="dxa"/>
          </w:tcPr>
          <w:p w14:paraId="069D0D9D" w14:textId="49681C48" w:rsidR="00DF7EE1" w:rsidRDefault="00DF7EE1" w:rsidP="00DF7EE1">
            <w:pPr>
              <w:rPr>
                <w:rFonts w:cs="Arial"/>
              </w:rPr>
            </w:pPr>
            <w:r>
              <w:rPr>
                <w:rFonts w:cs="Arial"/>
              </w:rPr>
              <w:lastRenderedPageBreak/>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1ACDDD64" w14:textId="77777777" w:rsidR="00DF7EE1" w:rsidRDefault="00DF7EE1" w:rsidP="00DF7EE1">
            <w:pPr>
              <w:rPr>
                <w:rFonts w:cs="Arial"/>
                <w:b/>
                <w:color w:val="auto"/>
                <w:szCs w:val="22"/>
              </w:rPr>
            </w:pPr>
            <w:r w:rsidRPr="00A07A74">
              <w:rPr>
                <w:rFonts w:cs="Arial"/>
                <w:b/>
                <w:color w:val="auto"/>
                <w:szCs w:val="22"/>
              </w:rPr>
              <w:t>No</w:t>
            </w:r>
          </w:p>
          <w:p w14:paraId="6A4C8FCD" w14:textId="538F9360" w:rsidR="00DF7EE1" w:rsidRPr="00DF7EE1" w:rsidRDefault="00DF7EE1" w:rsidP="00DF7EE1">
            <w:pPr>
              <w:rPr>
                <w:rFonts w:cs="Arial"/>
              </w:rPr>
            </w:pPr>
            <w:r w:rsidRPr="00DF7EE1">
              <w:rPr>
                <w:rFonts w:cs="Arial"/>
              </w:rPr>
              <w:t>There is nothing within the policy that is likely to create a differential impact on different racial groups.</w:t>
            </w:r>
          </w:p>
        </w:tc>
      </w:tr>
      <w:tr w:rsidR="00DF7EE1" w14:paraId="159DFAB8" w14:textId="77777777" w:rsidTr="007E05CE">
        <w:trPr>
          <w:trHeight w:val="885"/>
        </w:trPr>
        <w:tc>
          <w:tcPr>
            <w:tcW w:w="5240" w:type="dxa"/>
          </w:tcPr>
          <w:p w14:paraId="22F6C9CF" w14:textId="77777777" w:rsidR="00DF7EE1" w:rsidRDefault="00DF7EE1" w:rsidP="00DF7EE1">
            <w:pPr>
              <w:rPr>
                <w:rFonts w:cs="Arial"/>
              </w:rPr>
            </w:pPr>
            <w:r>
              <w:rPr>
                <w:rFonts w:cs="Arial"/>
              </w:rPr>
              <w:t>What existing evidence (either presumed or otherwise) do you have for this?</w:t>
            </w:r>
          </w:p>
        </w:tc>
        <w:tc>
          <w:tcPr>
            <w:tcW w:w="8789" w:type="dxa"/>
          </w:tcPr>
          <w:p w14:paraId="70A8C517" w14:textId="72DEC957" w:rsidR="00DF7EE1" w:rsidRPr="00A07A74" w:rsidRDefault="00DF7EE1" w:rsidP="00DF7EE1">
            <w:pPr>
              <w:rPr>
                <w:rFonts w:cs="Arial"/>
                <w:color w:val="auto"/>
              </w:rPr>
            </w:pPr>
            <w:r w:rsidRPr="00DF7EE1">
              <w:rPr>
                <w:rFonts w:cs="Arial"/>
                <w:color w:val="auto"/>
              </w:rPr>
              <w:t>Review has not identified any evidence of potential impacts. Nor does there appear to be any evidence which proves there is no impact.</w:t>
            </w:r>
          </w:p>
        </w:tc>
      </w:tr>
      <w:tr w:rsidR="00DF7EE1" w14:paraId="30F9AD4E" w14:textId="77777777" w:rsidTr="007E05CE">
        <w:trPr>
          <w:trHeight w:val="952"/>
        </w:trPr>
        <w:tc>
          <w:tcPr>
            <w:tcW w:w="5240" w:type="dxa"/>
          </w:tcPr>
          <w:p w14:paraId="68A825F4" w14:textId="77777777" w:rsidR="00DF7EE1" w:rsidRDefault="00DF7EE1" w:rsidP="00DF7EE1">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337E1D8F" w:rsidR="00DF7EE1" w:rsidRDefault="00DF7EE1" w:rsidP="00DF7EE1">
            <w:pPr>
              <w:rPr>
                <w:b/>
                <w:bCs/>
                <w:color w:val="auto"/>
              </w:rPr>
            </w:pPr>
            <w:r>
              <w:rPr>
                <w:b/>
                <w:bCs/>
                <w:color w:val="auto"/>
              </w:rPr>
              <w:t>Yes</w:t>
            </w:r>
          </w:p>
          <w:p w14:paraId="0840BAEA" w14:textId="5BD5D3DB" w:rsidR="00DF7EE1" w:rsidRPr="00DF7EE1" w:rsidRDefault="00DF7EE1" w:rsidP="00DF7EE1">
            <w:pPr>
              <w:rPr>
                <w:color w:val="auto"/>
              </w:rPr>
            </w:pPr>
            <w:r w:rsidRPr="00DF7EE1">
              <w:rPr>
                <w:color w:val="auto"/>
              </w:rPr>
              <w:t>The policy could have a differential impact due to gender. There is an element in the policy that specifically refers to fitness for CBRN SOR duty that is only relevant to females, namely temporary exclusion from the duty whilst pregnant, breast feeding of lactating. Some may regard the impact as negative if they feel the exclusion from duty is inappropriate.</w:t>
            </w:r>
          </w:p>
          <w:p w14:paraId="7C890E62" w14:textId="250E4427" w:rsidR="00DF7EE1" w:rsidRPr="00A07A74" w:rsidRDefault="00DF7EE1" w:rsidP="00DF7EE1">
            <w:pPr>
              <w:rPr>
                <w:rFonts w:cs="Arial"/>
                <w:color w:val="auto"/>
              </w:rPr>
            </w:pPr>
          </w:p>
        </w:tc>
      </w:tr>
      <w:tr w:rsidR="00DF7EE1" w14:paraId="67E69677" w14:textId="77777777" w:rsidTr="007E05CE">
        <w:trPr>
          <w:trHeight w:val="1002"/>
        </w:trPr>
        <w:tc>
          <w:tcPr>
            <w:tcW w:w="5240" w:type="dxa"/>
          </w:tcPr>
          <w:p w14:paraId="757A4BCB" w14:textId="77777777" w:rsidR="00DF7EE1" w:rsidRDefault="00DF7EE1" w:rsidP="00DF7EE1">
            <w:pPr>
              <w:rPr>
                <w:rFonts w:cs="Arial"/>
              </w:rPr>
            </w:pPr>
            <w:r>
              <w:rPr>
                <w:rFonts w:cs="Arial"/>
              </w:rPr>
              <w:t>What existing evidence (either presumed or otherwise) do you have for this?</w:t>
            </w:r>
          </w:p>
        </w:tc>
        <w:tc>
          <w:tcPr>
            <w:tcW w:w="8789" w:type="dxa"/>
          </w:tcPr>
          <w:p w14:paraId="6FBAAF5E" w14:textId="0B4192AD" w:rsidR="00DF7EE1" w:rsidRPr="00DF7EE1" w:rsidRDefault="00DF7EE1" w:rsidP="00DF7EE1">
            <w:pPr>
              <w:rPr>
                <w:rFonts w:cs="Arial"/>
                <w:color w:val="auto"/>
              </w:rPr>
            </w:pPr>
            <w:r w:rsidRPr="00DF7EE1">
              <w:rPr>
                <w:rFonts w:cs="Arial"/>
                <w:color w:val="auto"/>
              </w:rPr>
              <w:t xml:space="preserve">Medical research referenced by HSE, indicates an increased risk to the foetus in pregnant female humans. There is also increased risk to breastfeeding infants in the event of exposure to radiation. CBRN work involves work with radioactive sources including Chemical Agent Monitors and X-Ray equipment. In </w:t>
            </w:r>
            <w:proofErr w:type="gramStart"/>
            <w:r w:rsidRPr="00DF7EE1">
              <w:rPr>
                <w:rFonts w:cs="Arial"/>
                <w:color w:val="auto"/>
              </w:rPr>
              <w:t>addition</w:t>
            </w:r>
            <w:proofErr w:type="gramEnd"/>
            <w:r w:rsidRPr="00DF7EE1">
              <w:rPr>
                <w:rFonts w:cs="Arial"/>
                <w:color w:val="auto"/>
              </w:rPr>
              <w:t xml:space="preserve"> the duties may involve increased risk of exposure to radioactive contamination. Controlling exposure to a level below limits imposed in relation to pregnant / breastfeeding females by Ionising Radiation Regulations 1999 during operational deployments is likely to be impracticable. In </w:t>
            </w:r>
            <w:proofErr w:type="gramStart"/>
            <w:r w:rsidRPr="00DF7EE1">
              <w:rPr>
                <w:rFonts w:cs="Arial"/>
                <w:color w:val="auto"/>
              </w:rPr>
              <w:t>addition</w:t>
            </w:r>
            <w:proofErr w:type="gramEnd"/>
            <w:r w:rsidRPr="00DF7EE1">
              <w:rPr>
                <w:rFonts w:cs="Arial"/>
                <w:color w:val="auto"/>
              </w:rPr>
              <w:t xml:space="preserve"> medical evidence indicates there is likely to be a disproportionate negative health impact </w:t>
            </w:r>
            <w:r w:rsidRPr="00DF7EE1">
              <w:rPr>
                <w:rFonts w:cs="Arial"/>
                <w:color w:val="auto"/>
              </w:rPr>
              <w:lastRenderedPageBreak/>
              <w:t xml:space="preserve">on the foetus in a pregnant female of breastfeeding infant in the event of exposure of the mother to toxic chemicals including the Nerve Agent Pre-treatment and nerve agent </w:t>
            </w:r>
            <w:proofErr w:type="spellStart"/>
            <w:r w:rsidRPr="00DF7EE1">
              <w:rPr>
                <w:rFonts w:cs="Arial"/>
                <w:color w:val="auto"/>
              </w:rPr>
              <w:t>Combopen</w:t>
            </w:r>
            <w:proofErr w:type="spellEnd"/>
            <w:r w:rsidRPr="00DF7EE1">
              <w:rPr>
                <w:rFonts w:cs="Arial"/>
                <w:color w:val="auto"/>
              </w:rPr>
              <w:t xml:space="preserve"> (</w:t>
            </w:r>
            <w:proofErr w:type="spellStart"/>
            <w:r w:rsidRPr="00DF7EE1">
              <w:rPr>
                <w:rFonts w:cs="Arial"/>
                <w:color w:val="auto"/>
              </w:rPr>
              <w:t>Atropin</w:t>
            </w:r>
            <w:proofErr w:type="spellEnd"/>
            <w:r w:rsidRPr="00DF7EE1">
              <w:rPr>
                <w:rFonts w:cs="Arial"/>
                <w:color w:val="auto"/>
              </w:rPr>
              <w:t>) and /or Potassium Iodide. As a result, application of Health and Safety Legislation indicates temporary exclusion from duties where the risk of exposure is present is reasonable in order to reduce risk to ALARP.</w:t>
            </w:r>
          </w:p>
        </w:tc>
      </w:tr>
      <w:tr w:rsidR="00DF7EE1" w14:paraId="117C885D" w14:textId="77777777" w:rsidTr="007E05CE">
        <w:trPr>
          <w:trHeight w:val="912"/>
        </w:trPr>
        <w:tc>
          <w:tcPr>
            <w:tcW w:w="5240" w:type="dxa"/>
          </w:tcPr>
          <w:p w14:paraId="14275409" w14:textId="3A11CE6C" w:rsidR="00DF7EE1" w:rsidRDefault="00DF7EE1" w:rsidP="00DF7EE1">
            <w:pPr>
              <w:rPr>
                <w:rFonts w:cs="Arial"/>
              </w:rPr>
            </w:pPr>
            <w:r>
              <w:rPr>
                <w:rFonts w:cs="Arial"/>
              </w:rPr>
              <w:lastRenderedPageBreak/>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2936953F" w:rsidR="00DF7EE1" w:rsidRDefault="00DF7EE1" w:rsidP="00DF7EE1">
            <w:pPr>
              <w:rPr>
                <w:b/>
                <w:bCs/>
                <w:color w:val="auto"/>
              </w:rPr>
            </w:pPr>
            <w:r w:rsidRPr="00A07A74">
              <w:rPr>
                <w:b/>
                <w:bCs/>
                <w:color w:val="auto"/>
              </w:rPr>
              <w:t>No</w:t>
            </w:r>
          </w:p>
          <w:p w14:paraId="5DBF5DC0" w14:textId="6D535C1E" w:rsidR="00DF7EE1" w:rsidRPr="00C670BF" w:rsidRDefault="00C670BF" w:rsidP="00DF7EE1">
            <w:pPr>
              <w:rPr>
                <w:color w:val="auto"/>
              </w:rPr>
            </w:pPr>
            <w:r w:rsidRPr="00C670BF">
              <w:rPr>
                <w:color w:val="auto"/>
              </w:rPr>
              <w:t>There is nothing within the policy that is likely to create a differential impact due to disability.</w:t>
            </w:r>
          </w:p>
        </w:tc>
      </w:tr>
      <w:tr w:rsidR="00DF7EE1" w14:paraId="75C2074C" w14:textId="77777777" w:rsidTr="007E05CE">
        <w:trPr>
          <w:trHeight w:val="836"/>
        </w:trPr>
        <w:tc>
          <w:tcPr>
            <w:tcW w:w="5240" w:type="dxa"/>
          </w:tcPr>
          <w:p w14:paraId="718803B1" w14:textId="77777777" w:rsidR="00DF7EE1" w:rsidRDefault="00DF7EE1" w:rsidP="00DF7EE1">
            <w:pPr>
              <w:rPr>
                <w:rFonts w:cs="Arial"/>
              </w:rPr>
            </w:pPr>
            <w:r>
              <w:rPr>
                <w:rFonts w:cs="Arial"/>
              </w:rPr>
              <w:t>What existing evidence (either presumed or otherwise) do you have for this?</w:t>
            </w:r>
          </w:p>
        </w:tc>
        <w:tc>
          <w:tcPr>
            <w:tcW w:w="8789" w:type="dxa"/>
          </w:tcPr>
          <w:p w14:paraId="1E2B149A" w14:textId="4DFEED9A" w:rsidR="00DF7EE1" w:rsidRPr="00A07A74" w:rsidRDefault="00C670BF" w:rsidP="00DF7EE1">
            <w:pPr>
              <w:rPr>
                <w:rFonts w:cs="Arial"/>
                <w:color w:val="auto"/>
              </w:rPr>
            </w:pPr>
            <w:r w:rsidRPr="00C670BF">
              <w:rPr>
                <w:rFonts w:cs="Arial"/>
                <w:color w:val="auto"/>
              </w:rPr>
              <w:t>Review has failed to identify any evidence of potential impacts. Nor does there appear to be any evidence which proves there is no impact.</w:t>
            </w:r>
          </w:p>
        </w:tc>
      </w:tr>
      <w:tr w:rsidR="00DF7EE1" w14:paraId="31CCA1DF" w14:textId="77777777" w:rsidTr="007E05CE">
        <w:trPr>
          <w:trHeight w:val="888"/>
        </w:trPr>
        <w:tc>
          <w:tcPr>
            <w:tcW w:w="5240" w:type="dxa"/>
          </w:tcPr>
          <w:p w14:paraId="2F9EE705" w14:textId="77777777" w:rsidR="00DF7EE1" w:rsidRDefault="00DF7EE1" w:rsidP="00DF7EE1">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DF7EE1" w:rsidRPr="00A07A74" w:rsidRDefault="00DF7EE1" w:rsidP="00DF7EE1">
            <w:pPr>
              <w:rPr>
                <w:b/>
                <w:bCs/>
                <w:color w:val="auto"/>
              </w:rPr>
            </w:pPr>
            <w:r w:rsidRPr="00A07A74">
              <w:rPr>
                <w:b/>
                <w:bCs/>
                <w:color w:val="auto"/>
              </w:rPr>
              <w:t>No</w:t>
            </w:r>
          </w:p>
          <w:p w14:paraId="3AFDB319" w14:textId="52CB1D46" w:rsidR="00DF7EE1" w:rsidRPr="00A07A74" w:rsidRDefault="00C670BF" w:rsidP="00DF7EE1">
            <w:pPr>
              <w:rPr>
                <w:rFonts w:cs="Arial"/>
                <w:color w:val="auto"/>
              </w:rPr>
            </w:pPr>
            <w:r w:rsidRPr="00C670BF">
              <w:rPr>
                <w:rFonts w:cs="Arial"/>
                <w:color w:val="auto"/>
              </w:rPr>
              <w:t>There is nothing within the policy that is likely to create a differential impact due to sexual orientation.</w:t>
            </w:r>
          </w:p>
        </w:tc>
      </w:tr>
      <w:tr w:rsidR="00DF7EE1" w14:paraId="6160E07B" w14:textId="77777777" w:rsidTr="007E05CE">
        <w:trPr>
          <w:trHeight w:val="798"/>
        </w:trPr>
        <w:tc>
          <w:tcPr>
            <w:tcW w:w="5240" w:type="dxa"/>
          </w:tcPr>
          <w:p w14:paraId="126AAF0C" w14:textId="77777777" w:rsidR="00DF7EE1" w:rsidRDefault="00DF7EE1" w:rsidP="00DF7EE1">
            <w:pPr>
              <w:rPr>
                <w:rFonts w:cs="Arial"/>
              </w:rPr>
            </w:pPr>
            <w:r>
              <w:rPr>
                <w:rFonts w:cs="Arial"/>
              </w:rPr>
              <w:t>What existing evidence (either presumed or otherwise) do you have for this?</w:t>
            </w:r>
          </w:p>
        </w:tc>
        <w:tc>
          <w:tcPr>
            <w:tcW w:w="8789" w:type="dxa"/>
          </w:tcPr>
          <w:p w14:paraId="21CA1A55" w14:textId="033886D6" w:rsidR="00DF7EE1" w:rsidRPr="00A07A74" w:rsidRDefault="00C670BF" w:rsidP="00DF7EE1">
            <w:pPr>
              <w:rPr>
                <w:rFonts w:cs="Arial"/>
                <w:color w:val="auto"/>
              </w:rPr>
            </w:pPr>
            <w:r w:rsidRPr="00C670BF">
              <w:rPr>
                <w:rFonts w:cs="Arial"/>
                <w:color w:val="auto"/>
              </w:rPr>
              <w:t>Review has not identified any evidence of potential impacts. Nor does there appear to be any evidence which proves there is no impact.</w:t>
            </w:r>
          </w:p>
        </w:tc>
      </w:tr>
      <w:tr w:rsidR="00DF7EE1" w14:paraId="0DEDCE32" w14:textId="77777777" w:rsidTr="007E05CE">
        <w:trPr>
          <w:trHeight w:val="838"/>
        </w:trPr>
        <w:tc>
          <w:tcPr>
            <w:tcW w:w="5240" w:type="dxa"/>
          </w:tcPr>
          <w:p w14:paraId="5C90B1F6" w14:textId="77777777" w:rsidR="00DF7EE1" w:rsidRDefault="00DF7EE1" w:rsidP="00DF7EE1">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596B8C0B" w14:textId="77777777" w:rsidR="00DF7EE1" w:rsidRDefault="00DF7EE1" w:rsidP="00DF7EE1">
            <w:pPr>
              <w:rPr>
                <w:b/>
                <w:bCs/>
                <w:color w:val="auto"/>
              </w:rPr>
            </w:pPr>
            <w:r w:rsidRPr="00A07A74">
              <w:rPr>
                <w:b/>
                <w:bCs/>
                <w:color w:val="auto"/>
              </w:rPr>
              <w:t>No</w:t>
            </w:r>
          </w:p>
          <w:p w14:paraId="573B02F8" w14:textId="10F97C48" w:rsidR="00C670BF" w:rsidRPr="00C670BF" w:rsidRDefault="00C670BF" w:rsidP="00C670BF">
            <w:r w:rsidRPr="00C670BF">
              <w:t>There is nothing within the policy that is likely to create a differential impact due to age.</w:t>
            </w:r>
          </w:p>
        </w:tc>
      </w:tr>
      <w:tr w:rsidR="00DF7EE1" w14:paraId="7ECBED34" w14:textId="77777777" w:rsidTr="007E05CE">
        <w:trPr>
          <w:trHeight w:val="1116"/>
        </w:trPr>
        <w:tc>
          <w:tcPr>
            <w:tcW w:w="5240" w:type="dxa"/>
          </w:tcPr>
          <w:p w14:paraId="770C0F6E" w14:textId="62874B0B" w:rsidR="00DF7EE1" w:rsidRDefault="00DF7EE1" w:rsidP="00DF7EE1">
            <w:pPr>
              <w:rPr>
                <w:rFonts w:cs="Arial"/>
              </w:rPr>
            </w:pPr>
            <w:r>
              <w:rPr>
                <w:rFonts w:cs="Arial"/>
              </w:rPr>
              <w:lastRenderedPageBreak/>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388E3954" w14:textId="77777777" w:rsidR="00DF7EE1" w:rsidRDefault="00DF7EE1" w:rsidP="00DF7EE1">
            <w:pPr>
              <w:rPr>
                <w:b/>
                <w:bCs/>
                <w:color w:val="auto"/>
              </w:rPr>
            </w:pPr>
            <w:r w:rsidRPr="00A07A74">
              <w:rPr>
                <w:b/>
                <w:bCs/>
                <w:color w:val="auto"/>
              </w:rPr>
              <w:t>No</w:t>
            </w:r>
          </w:p>
          <w:p w14:paraId="2DFDDB1F" w14:textId="70395553" w:rsidR="00C670BF" w:rsidRPr="00C670BF" w:rsidRDefault="00C670BF" w:rsidP="00C670BF">
            <w:r w:rsidRPr="00C670BF">
              <w:t>There is nothing within the policy that is likely to create a differential impact due them being young people or children.</w:t>
            </w:r>
          </w:p>
        </w:tc>
      </w:tr>
      <w:tr w:rsidR="00DF7EE1" w14:paraId="6AC12909" w14:textId="77777777" w:rsidTr="007E05CE">
        <w:trPr>
          <w:trHeight w:val="885"/>
        </w:trPr>
        <w:tc>
          <w:tcPr>
            <w:tcW w:w="5240" w:type="dxa"/>
          </w:tcPr>
          <w:p w14:paraId="7057E5E3" w14:textId="77777777" w:rsidR="00DF7EE1" w:rsidRDefault="00DF7EE1" w:rsidP="00DF7EE1">
            <w:pPr>
              <w:rPr>
                <w:rFonts w:cs="Arial"/>
              </w:rPr>
            </w:pPr>
            <w:r>
              <w:rPr>
                <w:rFonts w:cs="Arial"/>
              </w:rPr>
              <w:t>What existing evidence (either presumed or otherwise) do you have for this?</w:t>
            </w:r>
          </w:p>
        </w:tc>
        <w:tc>
          <w:tcPr>
            <w:tcW w:w="8789" w:type="dxa"/>
          </w:tcPr>
          <w:p w14:paraId="771B3B5C" w14:textId="236054C3" w:rsidR="00DF7EE1" w:rsidRPr="00A07A74" w:rsidRDefault="00C670BF" w:rsidP="00DF7EE1">
            <w:pPr>
              <w:rPr>
                <w:rFonts w:cs="Arial"/>
                <w:color w:val="auto"/>
              </w:rPr>
            </w:pPr>
            <w:r w:rsidRPr="00C670BF">
              <w:rPr>
                <w:rFonts w:cs="Arial"/>
                <w:color w:val="auto"/>
              </w:rPr>
              <w:t xml:space="preserve">The policy does not affect any young people or </w:t>
            </w:r>
            <w:proofErr w:type="gramStart"/>
            <w:r w:rsidRPr="00C670BF">
              <w:rPr>
                <w:rFonts w:cs="Arial"/>
                <w:color w:val="auto"/>
              </w:rPr>
              <w:t>children</w:t>
            </w:r>
            <w:proofErr w:type="gramEnd"/>
            <w:r w:rsidRPr="00C670BF">
              <w:rPr>
                <w:rFonts w:cs="Arial"/>
                <w:color w:val="auto"/>
              </w:rPr>
              <w:t xml:space="preserve"> so it is believed no impact is likely.</w:t>
            </w:r>
          </w:p>
        </w:tc>
      </w:tr>
      <w:tr w:rsidR="00DF7EE1" w14:paraId="037F297E" w14:textId="77777777" w:rsidTr="007E05CE">
        <w:trPr>
          <w:trHeight w:val="952"/>
        </w:trPr>
        <w:tc>
          <w:tcPr>
            <w:tcW w:w="5240" w:type="dxa"/>
          </w:tcPr>
          <w:p w14:paraId="0F503EC6" w14:textId="7B56D067" w:rsidR="00DF7EE1" w:rsidRDefault="00DF7EE1" w:rsidP="00DF7EE1">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1A505145" w14:textId="77777777" w:rsidR="00DF7EE1" w:rsidRDefault="00DF7EE1" w:rsidP="00DF7EE1">
            <w:pPr>
              <w:rPr>
                <w:b/>
                <w:bCs/>
                <w:color w:val="auto"/>
              </w:rPr>
            </w:pPr>
            <w:r w:rsidRPr="00A07A74">
              <w:rPr>
                <w:b/>
                <w:bCs/>
                <w:color w:val="auto"/>
              </w:rPr>
              <w:t>No</w:t>
            </w:r>
          </w:p>
          <w:p w14:paraId="57C6DFA9" w14:textId="7B7AC79E" w:rsidR="00C670BF" w:rsidRPr="00C670BF" w:rsidRDefault="00C670BF" w:rsidP="00DF7EE1">
            <w:pPr>
              <w:rPr>
                <w:color w:val="auto"/>
              </w:rPr>
            </w:pPr>
            <w:r w:rsidRPr="00C670BF">
              <w:rPr>
                <w:color w:val="auto"/>
              </w:rPr>
              <w:t>There is nothing within the policy that is likely to create a differential impact on older people</w:t>
            </w:r>
          </w:p>
        </w:tc>
      </w:tr>
      <w:tr w:rsidR="00DF7EE1" w14:paraId="2DF7DA86" w14:textId="77777777" w:rsidTr="007E05CE">
        <w:trPr>
          <w:trHeight w:val="1002"/>
        </w:trPr>
        <w:tc>
          <w:tcPr>
            <w:tcW w:w="5240" w:type="dxa"/>
          </w:tcPr>
          <w:p w14:paraId="40678B1C" w14:textId="77777777" w:rsidR="00DF7EE1" w:rsidRDefault="00DF7EE1" w:rsidP="00DF7EE1">
            <w:pPr>
              <w:rPr>
                <w:rFonts w:cs="Arial"/>
              </w:rPr>
            </w:pPr>
            <w:r>
              <w:rPr>
                <w:rFonts w:cs="Arial"/>
              </w:rPr>
              <w:t>What existing evidence (either presumed or otherwise) do you have for this?</w:t>
            </w:r>
          </w:p>
        </w:tc>
        <w:tc>
          <w:tcPr>
            <w:tcW w:w="8789" w:type="dxa"/>
          </w:tcPr>
          <w:p w14:paraId="5F507DD2" w14:textId="53A79DA3" w:rsidR="00DF7EE1" w:rsidRPr="00A07A74" w:rsidRDefault="00C670BF" w:rsidP="00DF7EE1">
            <w:pPr>
              <w:rPr>
                <w:rFonts w:cs="Arial"/>
                <w:color w:val="auto"/>
              </w:rPr>
            </w:pPr>
            <w:r w:rsidRPr="00C670BF">
              <w:rPr>
                <w:rFonts w:cs="Arial"/>
                <w:color w:val="auto"/>
              </w:rPr>
              <w:t>Review has not identified any evidence of potential impacts. Nor does there appear to be any evidence which proves there is no impact.</w:t>
            </w:r>
          </w:p>
        </w:tc>
      </w:tr>
      <w:tr w:rsidR="00DF7EE1" w14:paraId="433A9A5D" w14:textId="77777777" w:rsidTr="007E05CE">
        <w:trPr>
          <w:trHeight w:val="912"/>
        </w:trPr>
        <w:tc>
          <w:tcPr>
            <w:tcW w:w="5240" w:type="dxa"/>
          </w:tcPr>
          <w:p w14:paraId="18871C7A" w14:textId="77777777" w:rsidR="00DF7EE1" w:rsidRDefault="00DF7EE1" w:rsidP="00DF7EE1">
            <w:pPr>
              <w:rPr>
                <w:rFonts w:cs="Arial"/>
              </w:rPr>
            </w:pPr>
            <w:r>
              <w:rPr>
                <w:rFonts w:cs="Arial"/>
              </w:rPr>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30BAC4DA" w14:textId="77777777" w:rsidR="00DF7EE1" w:rsidRDefault="00DF7EE1" w:rsidP="00DF7EE1">
            <w:pPr>
              <w:rPr>
                <w:b/>
                <w:bCs/>
                <w:color w:val="auto"/>
              </w:rPr>
            </w:pPr>
            <w:r w:rsidRPr="00A07A74">
              <w:rPr>
                <w:b/>
                <w:bCs/>
                <w:color w:val="auto"/>
              </w:rPr>
              <w:t>No</w:t>
            </w:r>
          </w:p>
          <w:p w14:paraId="4A4E91C2" w14:textId="6A09BE73" w:rsidR="00C670BF" w:rsidRPr="00C670BF" w:rsidRDefault="00C670BF" w:rsidP="00C670BF">
            <w:r w:rsidRPr="00C670BF">
              <w:t>There is nothing within the policy that is likely to create a differential impact due to their religious belief.</w:t>
            </w:r>
          </w:p>
        </w:tc>
      </w:tr>
      <w:tr w:rsidR="00DF7EE1" w14:paraId="5E46D7FE" w14:textId="77777777" w:rsidTr="007E05CE">
        <w:trPr>
          <w:trHeight w:val="836"/>
        </w:trPr>
        <w:tc>
          <w:tcPr>
            <w:tcW w:w="5240" w:type="dxa"/>
          </w:tcPr>
          <w:p w14:paraId="3A40C84A" w14:textId="77777777" w:rsidR="00DF7EE1" w:rsidRDefault="00DF7EE1" w:rsidP="00DF7EE1">
            <w:pPr>
              <w:rPr>
                <w:rFonts w:cs="Arial"/>
              </w:rPr>
            </w:pPr>
            <w:r>
              <w:rPr>
                <w:rFonts w:cs="Arial"/>
              </w:rPr>
              <w:t>What existing evidence (either presumed or otherwise) do you have for this?</w:t>
            </w:r>
          </w:p>
        </w:tc>
        <w:tc>
          <w:tcPr>
            <w:tcW w:w="8789" w:type="dxa"/>
          </w:tcPr>
          <w:p w14:paraId="4608E505" w14:textId="28044499" w:rsidR="00DF7EE1" w:rsidRPr="00A07A74" w:rsidRDefault="00C670BF" w:rsidP="00DF7EE1">
            <w:pPr>
              <w:rPr>
                <w:rFonts w:cs="Arial"/>
                <w:color w:val="auto"/>
              </w:rPr>
            </w:pPr>
            <w:r w:rsidRPr="00C670BF">
              <w:rPr>
                <w:rFonts w:cs="Arial"/>
                <w:color w:val="auto"/>
              </w:rPr>
              <w:t>Review has not identified any evidence of potential impacts. Nor does there appear to be any evidence which proves there is no impact.</w:t>
            </w:r>
          </w:p>
        </w:tc>
      </w:tr>
      <w:tr w:rsidR="00DF7EE1" w14:paraId="490F3554" w14:textId="77777777" w:rsidTr="007E05CE">
        <w:trPr>
          <w:trHeight w:val="888"/>
        </w:trPr>
        <w:tc>
          <w:tcPr>
            <w:tcW w:w="5240" w:type="dxa"/>
          </w:tcPr>
          <w:p w14:paraId="5ED909AE" w14:textId="3BEA291E" w:rsidR="00DF7EE1" w:rsidRDefault="00DF7EE1" w:rsidP="00DF7EE1">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2C833CF5" w14:textId="77777777" w:rsidR="00DF7EE1" w:rsidRDefault="00DF7EE1" w:rsidP="00DF7EE1">
            <w:pPr>
              <w:rPr>
                <w:b/>
                <w:bCs/>
                <w:color w:val="auto"/>
              </w:rPr>
            </w:pPr>
            <w:r w:rsidRPr="00A07A74">
              <w:rPr>
                <w:b/>
                <w:bCs/>
                <w:color w:val="auto"/>
              </w:rPr>
              <w:t>No</w:t>
            </w:r>
          </w:p>
          <w:p w14:paraId="308DC018" w14:textId="37B685C8" w:rsidR="00C670BF" w:rsidRPr="00C670BF" w:rsidRDefault="00C670BF" w:rsidP="00C670BF">
            <w:r w:rsidRPr="00C670BF">
              <w:t>There is nothing within the policy that is likely to create a differential impact due to them having dependants / caring responsibilities.</w:t>
            </w:r>
          </w:p>
        </w:tc>
      </w:tr>
      <w:tr w:rsidR="00DF7EE1" w14:paraId="59B33F18" w14:textId="77777777" w:rsidTr="007E05CE">
        <w:trPr>
          <w:trHeight w:val="798"/>
        </w:trPr>
        <w:tc>
          <w:tcPr>
            <w:tcW w:w="5240" w:type="dxa"/>
          </w:tcPr>
          <w:p w14:paraId="677DC4D5" w14:textId="77777777" w:rsidR="00DF7EE1" w:rsidRDefault="00DF7EE1" w:rsidP="00DF7EE1">
            <w:pPr>
              <w:rPr>
                <w:rFonts w:cs="Arial"/>
              </w:rPr>
            </w:pPr>
            <w:r>
              <w:rPr>
                <w:rFonts w:cs="Arial"/>
              </w:rPr>
              <w:lastRenderedPageBreak/>
              <w:t>What existing evidence (either presumed or otherwise) do you have for this?</w:t>
            </w:r>
          </w:p>
        </w:tc>
        <w:tc>
          <w:tcPr>
            <w:tcW w:w="8789" w:type="dxa"/>
          </w:tcPr>
          <w:p w14:paraId="7CDD87E4" w14:textId="01FB0E8A" w:rsidR="00DF7EE1" w:rsidRPr="00A07A74" w:rsidRDefault="00C670BF" w:rsidP="00DF7EE1">
            <w:pPr>
              <w:rPr>
                <w:rFonts w:cs="Arial"/>
                <w:color w:val="auto"/>
              </w:rPr>
            </w:pPr>
            <w:r w:rsidRPr="00C670BF">
              <w:rPr>
                <w:rFonts w:cs="Arial"/>
                <w:color w:val="auto"/>
              </w:rPr>
              <w:t>Review has not identified any evidence of potential impacts. Nor does there appear to be any evidence which proves there is no impact.</w:t>
            </w:r>
          </w:p>
        </w:tc>
      </w:tr>
      <w:tr w:rsidR="00DF7EE1" w14:paraId="438F18A2" w14:textId="77777777" w:rsidTr="007E05CE">
        <w:trPr>
          <w:trHeight w:val="1116"/>
        </w:trPr>
        <w:tc>
          <w:tcPr>
            <w:tcW w:w="5240" w:type="dxa"/>
          </w:tcPr>
          <w:p w14:paraId="4C8872EE" w14:textId="77777777" w:rsidR="00DF7EE1" w:rsidRPr="002B3C8E" w:rsidRDefault="00DF7EE1" w:rsidP="00DF7EE1">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683C36E6" w14:textId="77777777" w:rsidR="00DF7EE1" w:rsidRDefault="00DF7EE1" w:rsidP="00DF7EE1">
            <w:pPr>
              <w:rPr>
                <w:b/>
                <w:bCs/>
                <w:color w:val="auto"/>
              </w:rPr>
            </w:pPr>
            <w:r w:rsidRPr="00A07A74">
              <w:rPr>
                <w:b/>
                <w:bCs/>
                <w:color w:val="auto"/>
              </w:rPr>
              <w:t>No</w:t>
            </w:r>
          </w:p>
          <w:p w14:paraId="1E0BBE45" w14:textId="0032A318" w:rsidR="00C670BF" w:rsidRPr="00C670BF" w:rsidRDefault="00C670BF" w:rsidP="00C670BF">
            <w:r w:rsidRPr="00C670BF">
              <w:t>There is nothing within the policy that is likely to create a differential impact due to marriage or civil partnership.</w:t>
            </w:r>
          </w:p>
        </w:tc>
      </w:tr>
      <w:tr w:rsidR="00DF7EE1" w14:paraId="77A7FC36" w14:textId="77777777" w:rsidTr="007E05CE">
        <w:trPr>
          <w:trHeight w:val="885"/>
        </w:trPr>
        <w:tc>
          <w:tcPr>
            <w:tcW w:w="5240" w:type="dxa"/>
          </w:tcPr>
          <w:p w14:paraId="63B0E833" w14:textId="77777777" w:rsidR="00DF7EE1" w:rsidRDefault="00DF7EE1" w:rsidP="00DF7EE1">
            <w:pPr>
              <w:rPr>
                <w:rFonts w:cs="Arial"/>
              </w:rPr>
            </w:pPr>
            <w:r>
              <w:rPr>
                <w:rFonts w:cs="Arial"/>
              </w:rPr>
              <w:t>What existing evidence (either presumed or otherwise) do you have for this?</w:t>
            </w:r>
          </w:p>
        </w:tc>
        <w:tc>
          <w:tcPr>
            <w:tcW w:w="8789" w:type="dxa"/>
          </w:tcPr>
          <w:p w14:paraId="14C8D535" w14:textId="14CD5ECB" w:rsidR="00DF7EE1" w:rsidRPr="00A07A74" w:rsidRDefault="00C670BF" w:rsidP="00C670BF">
            <w:pPr>
              <w:rPr>
                <w:rFonts w:cs="Arial"/>
                <w:color w:val="auto"/>
              </w:rPr>
            </w:pPr>
            <w:r w:rsidRPr="00C670BF">
              <w:rPr>
                <w:rFonts w:cs="Arial"/>
                <w:color w:val="auto"/>
              </w:rPr>
              <w:t>Review has not identified any evidence of potential impacts. Nor does there appear to be any evidence which proves there is no impact.</w:t>
            </w:r>
          </w:p>
        </w:tc>
      </w:tr>
      <w:tr w:rsidR="00DF7EE1" w14:paraId="569ACCD3" w14:textId="77777777" w:rsidTr="007E05CE">
        <w:trPr>
          <w:trHeight w:val="952"/>
        </w:trPr>
        <w:tc>
          <w:tcPr>
            <w:tcW w:w="5240" w:type="dxa"/>
          </w:tcPr>
          <w:p w14:paraId="02839909" w14:textId="77777777" w:rsidR="00DF7EE1" w:rsidRDefault="00DF7EE1" w:rsidP="00DF7EE1">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5034057E" w14:textId="77777777" w:rsidR="00DF7EE1" w:rsidRDefault="00DF7EE1" w:rsidP="00DF7EE1">
            <w:pPr>
              <w:rPr>
                <w:b/>
                <w:bCs/>
                <w:color w:val="auto"/>
              </w:rPr>
            </w:pPr>
            <w:r w:rsidRPr="00A07A74">
              <w:rPr>
                <w:b/>
                <w:bCs/>
                <w:color w:val="auto"/>
              </w:rPr>
              <w:t>No</w:t>
            </w:r>
          </w:p>
          <w:p w14:paraId="41CC530C" w14:textId="237F3A5A" w:rsidR="00C670BF" w:rsidRPr="00C670BF" w:rsidRDefault="00C670BF" w:rsidP="00C670BF">
            <w:r w:rsidRPr="00C670BF">
              <w:t>There is nothing within the policy that is likely to create a differential impact due to them being transgender or transsexual.</w:t>
            </w:r>
          </w:p>
        </w:tc>
      </w:tr>
      <w:tr w:rsidR="00DF7EE1" w14:paraId="6C0E8494" w14:textId="77777777" w:rsidTr="007E05CE">
        <w:trPr>
          <w:trHeight w:val="1002"/>
        </w:trPr>
        <w:tc>
          <w:tcPr>
            <w:tcW w:w="5240" w:type="dxa"/>
          </w:tcPr>
          <w:p w14:paraId="0BB08FD9" w14:textId="77777777" w:rsidR="00DF7EE1" w:rsidRDefault="00DF7EE1" w:rsidP="00DF7EE1">
            <w:pPr>
              <w:rPr>
                <w:rFonts w:cs="Arial"/>
              </w:rPr>
            </w:pPr>
            <w:r>
              <w:rPr>
                <w:rFonts w:cs="Arial"/>
              </w:rPr>
              <w:t>What existing evidence (either presumed or otherwise) do you have for this?</w:t>
            </w:r>
          </w:p>
        </w:tc>
        <w:tc>
          <w:tcPr>
            <w:tcW w:w="8789" w:type="dxa"/>
          </w:tcPr>
          <w:p w14:paraId="0F8B3F77" w14:textId="37265DD8" w:rsidR="00DF7EE1" w:rsidRPr="00A07A74" w:rsidRDefault="00C670BF" w:rsidP="00DF7EE1">
            <w:pPr>
              <w:rPr>
                <w:rFonts w:cs="Arial"/>
                <w:color w:val="auto"/>
              </w:rPr>
            </w:pPr>
            <w:r w:rsidRPr="00C670BF">
              <w:rPr>
                <w:rFonts w:cs="Arial"/>
                <w:color w:val="auto"/>
              </w:rPr>
              <w:t>Review has not identified any evidence of potential impacts. Nor does there appear to be any evidence which proves there is no impact.</w:t>
            </w:r>
          </w:p>
        </w:tc>
      </w:tr>
      <w:tr w:rsidR="00DF7EE1" w14:paraId="4DCFEBD0" w14:textId="77777777" w:rsidTr="007E05CE">
        <w:trPr>
          <w:trHeight w:val="1130"/>
        </w:trPr>
        <w:tc>
          <w:tcPr>
            <w:tcW w:w="5240" w:type="dxa"/>
          </w:tcPr>
          <w:p w14:paraId="3B0812D6" w14:textId="21384768" w:rsidR="00DF7EE1" w:rsidRDefault="00DF7EE1" w:rsidP="00DF7EE1">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665922BD" w:rsidR="00DF7EE1" w:rsidRPr="00A07A74" w:rsidRDefault="00C670BF" w:rsidP="00DF7EE1">
            <w:pPr>
              <w:rPr>
                <w:b/>
                <w:bCs/>
                <w:color w:val="auto"/>
              </w:rPr>
            </w:pPr>
            <w:r>
              <w:rPr>
                <w:b/>
                <w:bCs/>
                <w:color w:val="auto"/>
              </w:rPr>
              <w:t>Yes</w:t>
            </w:r>
          </w:p>
          <w:p w14:paraId="798DBE71" w14:textId="177ACDCA" w:rsidR="00DF7EE1" w:rsidRPr="00C670BF" w:rsidRDefault="00C670BF" w:rsidP="00DF7EE1">
            <w:pPr>
              <w:rPr>
                <w:color w:val="auto"/>
              </w:rPr>
            </w:pPr>
            <w:r w:rsidRPr="00C670BF">
              <w:rPr>
                <w:color w:val="auto"/>
              </w:rPr>
              <w:t>The impact described in section 9 may be regarded by some as an adverse impact.</w:t>
            </w:r>
          </w:p>
        </w:tc>
      </w:tr>
      <w:tr w:rsidR="00DF7EE1" w14:paraId="2342E1F7" w14:textId="77777777" w:rsidTr="007E05CE">
        <w:trPr>
          <w:trHeight w:val="1106"/>
        </w:trPr>
        <w:tc>
          <w:tcPr>
            <w:tcW w:w="5240" w:type="dxa"/>
          </w:tcPr>
          <w:p w14:paraId="3C9660A8" w14:textId="77777777" w:rsidR="00DF7EE1" w:rsidRPr="00CF70F4" w:rsidRDefault="00DF7EE1" w:rsidP="00DF7EE1">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49CF7A93" w14:textId="77777777" w:rsidR="00DF7EE1" w:rsidRDefault="00C670BF" w:rsidP="00DF7EE1">
            <w:pPr>
              <w:rPr>
                <w:b/>
                <w:bCs/>
                <w:color w:val="auto"/>
              </w:rPr>
            </w:pPr>
            <w:r>
              <w:rPr>
                <w:b/>
                <w:bCs/>
                <w:color w:val="auto"/>
              </w:rPr>
              <w:t>Yes</w:t>
            </w:r>
          </w:p>
          <w:p w14:paraId="5AFFD2B2" w14:textId="2425EBA2" w:rsidR="00C670BF" w:rsidRPr="00C670BF" w:rsidRDefault="00C670BF" w:rsidP="00C670BF">
            <w:r w:rsidRPr="00C670BF">
              <w:t xml:space="preserve">It is felt the adverse impact mentioned in section 9 is justified. It is regarded as the minimum reasonable action necessary to ensure the health and safety of a </w:t>
            </w:r>
            <w:r w:rsidRPr="00C670BF">
              <w:lastRenderedPageBreak/>
              <w:t>foetus within a pregnant mother or breastfeeding child of a mother, who is engaging in CBRN Specialist Operational Response Duties.</w:t>
            </w:r>
          </w:p>
        </w:tc>
      </w:tr>
      <w:tr w:rsidR="00DF7EE1" w14:paraId="4368A430" w14:textId="77777777" w:rsidTr="007E05CE">
        <w:trPr>
          <w:trHeight w:val="974"/>
        </w:trPr>
        <w:tc>
          <w:tcPr>
            <w:tcW w:w="5240" w:type="dxa"/>
          </w:tcPr>
          <w:p w14:paraId="2028155E" w14:textId="7F0EB3B6" w:rsidR="00DF7EE1" w:rsidRDefault="00DF7EE1" w:rsidP="00DF7EE1">
            <w:pPr>
              <w:rPr>
                <w:rFonts w:cs="Arial"/>
              </w:rPr>
            </w:pPr>
            <w:r>
              <w:rPr>
                <w:rFonts w:cs="Arial"/>
              </w:rPr>
              <w:lastRenderedPageBreak/>
              <w:t xml:space="preserve">19. If </w:t>
            </w:r>
            <w:proofErr w:type="gramStart"/>
            <w:r>
              <w:rPr>
                <w:rFonts w:cs="Arial"/>
              </w:rPr>
              <w:t>Yes</w:t>
            </w:r>
            <w:proofErr w:type="gramEnd"/>
            <w:r>
              <w:rPr>
                <w:rFonts w:cs="Arial"/>
              </w:rPr>
              <w:t>, is there enough evidence to proceed to a full EIA?</w:t>
            </w:r>
          </w:p>
        </w:tc>
        <w:tc>
          <w:tcPr>
            <w:tcW w:w="8789" w:type="dxa"/>
          </w:tcPr>
          <w:p w14:paraId="17877A39" w14:textId="2C5D6309" w:rsidR="00DF7EE1" w:rsidRPr="00A07A74" w:rsidRDefault="00DF7EE1" w:rsidP="00DF7EE1">
            <w:pPr>
              <w:rPr>
                <w:b/>
                <w:bCs/>
                <w:color w:val="auto"/>
              </w:rPr>
            </w:pPr>
            <w:r w:rsidRPr="00A07A74">
              <w:rPr>
                <w:b/>
                <w:bCs/>
                <w:color w:val="auto"/>
              </w:rPr>
              <w:t>No</w:t>
            </w:r>
          </w:p>
        </w:tc>
      </w:tr>
      <w:tr w:rsidR="00DF7EE1" w14:paraId="00A89C69" w14:textId="77777777" w:rsidTr="007E05CE">
        <w:trPr>
          <w:trHeight w:val="650"/>
        </w:trPr>
        <w:tc>
          <w:tcPr>
            <w:tcW w:w="5240" w:type="dxa"/>
          </w:tcPr>
          <w:p w14:paraId="53316AA8" w14:textId="07181CA7" w:rsidR="00DF7EE1" w:rsidRDefault="00DF7EE1" w:rsidP="00DF7EE1">
            <w:pPr>
              <w:rPr>
                <w:rFonts w:cs="Arial"/>
              </w:rPr>
            </w:pPr>
            <w:r>
              <w:rPr>
                <w:rFonts w:cs="Arial"/>
              </w:rPr>
              <w:t>20. Date on which Full impact assessment to be completed by.</w:t>
            </w:r>
          </w:p>
        </w:tc>
        <w:tc>
          <w:tcPr>
            <w:tcW w:w="8789" w:type="dxa"/>
          </w:tcPr>
          <w:p w14:paraId="29D58DAB" w14:textId="5ADC811F" w:rsidR="00DF7EE1" w:rsidRPr="00A07A74" w:rsidRDefault="00C670BF" w:rsidP="00DF7EE1">
            <w:pPr>
              <w:rPr>
                <w:rFonts w:cs="Arial"/>
                <w:color w:val="auto"/>
              </w:rPr>
            </w:pPr>
            <w:r w:rsidRPr="00C670BF">
              <w:rPr>
                <w:rFonts w:cs="Arial"/>
                <w:color w:val="auto"/>
              </w:rPr>
              <w:t>N/A</w:t>
            </w:r>
          </w:p>
        </w:tc>
      </w:tr>
    </w:tbl>
    <w:p w14:paraId="5F851FF7" w14:textId="77777777" w:rsidR="00C143E8" w:rsidRDefault="00C143E8" w:rsidP="00C143E8">
      <w:pPr>
        <w:rPr>
          <w:rFonts w:cs="Arial"/>
        </w:rPr>
      </w:pPr>
    </w:p>
    <w:p w14:paraId="4D50A8D6" w14:textId="2606A2BB" w:rsidR="00C143E8" w:rsidRPr="00C143E8" w:rsidRDefault="00C143E8" w:rsidP="00C143E8">
      <w:r>
        <w:t>Signed (completing officer)</w:t>
      </w:r>
      <w:r w:rsidR="003D2942">
        <w:t>:</w:t>
      </w:r>
      <w:r w:rsidR="00C670BF">
        <w:t xml:space="preserve"> Ian Watkins</w:t>
      </w:r>
    </w:p>
    <w:p w14:paraId="79E309F9" w14:textId="09028F8A" w:rsidR="00076929" w:rsidRPr="0071268F" w:rsidRDefault="00C143E8" w:rsidP="0071268F">
      <w:pPr>
        <w:rPr>
          <w:rFonts w:cs="Arial"/>
        </w:rPr>
      </w:pPr>
      <w:r>
        <w:rPr>
          <w:rFonts w:cs="Arial"/>
        </w:rPr>
        <w:t>Signed (Lead officer)</w:t>
      </w:r>
      <w:r w:rsidR="00E24C76">
        <w:rPr>
          <w:rFonts w:cs="Arial"/>
        </w:rPr>
        <w:t xml:space="preserve">: </w:t>
      </w:r>
      <w:r w:rsidR="00C670BF">
        <w:rPr>
          <w:rFonts w:cs="Arial"/>
        </w:rPr>
        <w:t>Ian Watkins</w:t>
      </w:r>
      <w:r w:rsidR="00076929">
        <w:br w:type="page"/>
      </w:r>
    </w:p>
    <w:p w14:paraId="0CB32B31" w14:textId="136E911B" w:rsidR="00C143E8" w:rsidRPr="00C143E8" w:rsidRDefault="00C143E8" w:rsidP="00C143E8">
      <w:pPr>
        <w:pStyle w:val="Heading2"/>
      </w:pPr>
      <w:r>
        <w:lastRenderedPageBreak/>
        <w:t xml:space="preserve">Groups </w:t>
      </w:r>
      <w:proofErr w:type="gramStart"/>
      <w:r w:rsidR="009A5655">
        <w:t>a</w:t>
      </w:r>
      <w:r>
        <w:t>ffected</w:t>
      </w:r>
      <w:proofErr w:type="gramEnd"/>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 xml:space="preserve">same </w:t>
      </w:r>
      <w:proofErr w:type="gramStart"/>
      <w:r w:rsidRPr="00AE5283">
        <w:t>group</w:t>
      </w:r>
      <w:proofErr w:type="gramEnd"/>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bookmarkEnd w:id="0"/>
          </w:p>
        </w:tc>
        <w:tc>
          <w:tcPr>
            <w:tcW w:w="1604" w:type="dxa"/>
          </w:tcPr>
          <w:p w14:paraId="457ADCB2" w14:textId="507A6166" w:rsidR="00076929" w:rsidRDefault="00EA2B1D"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E95A78">
              <w:rPr>
                <w:rFonts w:cs="Arial"/>
              </w:rPr>
            </w:r>
            <w:r w:rsidR="00E95A78">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r w:rsidR="00EA2B1D" w14:paraId="0F38D2D6" w14:textId="77777777" w:rsidTr="00C15F76">
        <w:tc>
          <w:tcPr>
            <w:tcW w:w="8052" w:type="dxa"/>
          </w:tcPr>
          <w:p w14:paraId="7F648358" w14:textId="6500B3FD" w:rsidR="00EA2B1D" w:rsidRDefault="00EA2B1D" w:rsidP="00EA2B1D">
            <w:pPr>
              <w:rPr>
                <w:rFonts w:cs="Arial"/>
              </w:rPr>
            </w:pPr>
            <w:r>
              <w:rPr>
                <w:rFonts w:cs="Arial"/>
                <w:b/>
              </w:rPr>
              <w:t xml:space="preserve">Gender: </w:t>
            </w:r>
            <w:r>
              <w:rPr>
                <w:rFonts w:cs="Arial"/>
              </w:rPr>
              <w:t>Male, Female</w:t>
            </w:r>
          </w:p>
        </w:tc>
        <w:tc>
          <w:tcPr>
            <w:tcW w:w="1956" w:type="dxa"/>
          </w:tcPr>
          <w:p w14:paraId="4E0FB0C4" w14:textId="1F52389D"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4AFD3B53" w14:textId="7F663FD4" w:rsidR="00EA2B1D" w:rsidRDefault="00C670BF" w:rsidP="00EA2B1D">
            <w:pPr>
              <w:jc w:val="center"/>
              <w:rPr>
                <w:rFonts w:cs="Arial"/>
              </w:rPr>
            </w:pPr>
            <w:r>
              <w:rPr>
                <w:rFonts w:cs="Arial"/>
              </w:rPr>
              <w:fldChar w:fldCharType="begin">
                <w:ffData>
                  <w:name w:val=""/>
                  <w:enabled/>
                  <w:calcOnExit w:val="0"/>
                  <w:checkBox>
                    <w:sizeAuto/>
                    <w:default w:val="0"/>
                  </w:checkBox>
                </w:ffData>
              </w:fldChar>
            </w:r>
            <w:r>
              <w:rPr>
                <w:rFonts w:cs="Arial"/>
              </w:rPr>
              <w:instrText xml:space="preserve"> FORMCHECKBOX </w:instrText>
            </w:r>
            <w:r w:rsidR="00E95A78">
              <w:rPr>
                <w:rFonts w:cs="Arial"/>
              </w:rPr>
            </w:r>
            <w:r w:rsidR="00E95A78">
              <w:rPr>
                <w:rFonts w:cs="Arial"/>
              </w:rPr>
              <w:fldChar w:fldCharType="separate"/>
            </w:r>
            <w:r>
              <w:rPr>
                <w:rFonts w:cs="Arial"/>
              </w:rPr>
              <w:fldChar w:fldCharType="end"/>
            </w:r>
          </w:p>
        </w:tc>
        <w:tc>
          <w:tcPr>
            <w:tcW w:w="2336" w:type="dxa"/>
          </w:tcPr>
          <w:p w14:paraId="6FD9BD1C" w14:textId="22F397E8" w:rsidR="00EA2B1D" w:rsidRDefault="00C670BF" w:rsidP="00EA2B1D">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E95A78">
              <w:rPr>
                <w:rFonts w:cs="Arial"/>
              </w:rPr>
            </w:r>
            <w:r w:rsidR="00E95A78">
              <w:rPr>
                <w:rFonts w:cs="Arial"/>
              </w:rPr>
              <w:fldChar w:fldCharType="separate"/>
            </w:r>
            <w:r>
              <w:rPr>
                <w:rFonts w:cs="Arial"/>
              </w:rPr>
              <w:fldChar w:fldCharType="end"/>
            </w:r>
          </w:p>
        </w:tc>
      </w:tr>
      <w:tr w:rsidR="00EA2B1D" w14:paraId="4CA725EB" w14:textId="77777777" w:rsidTr="00C15F76">
        <w:tc>
          <w:tcPr>
            <w:tcW w:w="8052" w:type="dxa"/>
          </w:tcPr>
          <w:p w14:paraId="34B66396" w14:textId="468401C6" w:rsidR="00EA2B1D" w:rsidRDefault="00EA2B1D" w:rsidP="00EA2B1D">
            <w:pPr>
              <w:rPr>
                <w:rFonts w:cs="Arial"/>
                <w:b/>
              </w:rPr>
            </w:pPr>
            <w:r>
              <w:rPr>
                <w:rFonts w:cs="Arial"/>
                <w:b/>
              </w:rPr>
              <w:t>Transgender</w:t>
            </w:r>
          </w:p>
        </w:tc>
        <w:tc>
          <w:tcPr>
            <w:tcW w:w="1956" w:type="dxa"/>
          </w:tcPr>
          <w:p w14:paraId="54173740" w14:textId="3052995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19AF7036" w14:textId="21EBADD8"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E95A78">
              <w:rPr>
                <w:rFonts w:cs="Arial"/>
              </w:rPr>
            </w:r>
            <w:r w:rsidR="00E95A78">
              <w:rPr>
                <w:rFonts w:cs="Arial"/>
              </w:rPr>
              <w:fldChar w:fldCharType="separate"/>
            </w:r>
            <w:r w:rsidRPr="00A100AA">
              <w:rPr>
                <w:rFonts w:cs="Arial"/>
              </w:rPr>
              <w:fldChar w:fldCharType="end"/>
            </w:r>
          </w:p>
        </w:tc>
        <w:tc>
          <w:tcPr>
            <w:tcW w:w="2336" w:type="dxa"/>
          </w:tcPr>
          <w:p w14:paraId="7A7098E9" w14:textId="12C5A67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r w:rsidR="00EA2B1D" w14:paraId="318585C5" w14:textId="77777777" w:rsidTr="00C15F76">
        <w:tc>
          <w:tcPr>
            <w:tcW w:w="8052" w:type="dxa"/>
          </w:tcPr>
          <w:p w14:paraId="4FF713C5" w14:textId="6366DE26" w:rsidR="00EA2B1D" w:rsidRDefault="00EA2B1D" w:rsidP="00EA2B1D">
            <w:pPr>
              <w:rPr>
                <w:rFonts w:cs="Arial"/>
              </w:rPr>
            </w:pPr>
            <w:r>
              <w:rPr>
                <w:rFonts w:cs="Arial"/>
                <w:b/>
              </w:rPr>
              <w:t xml:space="preserve">Race: </w:t>
            </w:r>
            <w:r>
              <w:rPr>
                <w:rFonts w:cs="Arial"/>
              </w:rPr>
              <w:t>Traveller and Gypsy etc</w:t>
            </w:r>
          </w:p>
        </w:tc>
        <w:tc>
          <w:tcPr>
            <w:tcW w:w="1956" w:type="dxa"/>
          </w:tcPr>
          <w:p w14:paraId="54BE4A27" w14:textId="6BD1117E"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232F8EFD" w14:textId="5EA37A0B"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E95A78">
              <w:rPr>
                <w:rFonts w:cs="Arial"/>
              </w:rPr>
            </w:r>
            <w:r w:rsidR="00E95A78">
              <w:rPr>
                <w:rFonts w:cs="Arial"/>
              </w:rPr>
              <w:fldChar w:fldCharType="separate"/>
            </w:r>
            <w:r w:rsidRPr="00A100AA">
              <w:rPr>
                <w:rFonts w:cs="Arial"/>
              </w:rPr>
              <w:fldChar w:fldCharType="end"/>
            </w:r>
          </w:p>
        </w:tc>
        <w:tc>
          <w:tcPr>
            <w:tcW w:w="2336" w:type="dxa"/>
          </w:tcPr>
          <w:p w14:paraId="728D4B0F" w14:textId="4390520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r w:rsidR="00EA2B1D" w14:paraId="054D54EF" w14:textId="77777777" w:rsidTr="00C15F76">
        <w:tc>
          <w:tcPr>
            <w:tcW w:w="8052" w:type="dxa"/>
          </w:tcPr>
          <w:p w14:paraId="73E65459" w14:textId="72308DF4" w:rsidR="00EA2B1D" w:rsidRDefault="00EA2B1D" w:rsidP="00EA2B1D">
            <w:pPr>
              <w:rPr>
                <w:rFonts w:cs="Arial"/>
              </w:rPr>
            </w:pPr>
            <w:r>
              <w:rPr>
                <w:rFonts w:cs="Arial"/>
                <w:b/>
              </w:rPr>
              <w:t xml:space="preserve">Sexual Orientation: </w:t>
            </w:r>
            <w:r>
              <w:rPr>
                <w:rFonts w:cs="Arial"/>
              </w:rPr>
              <w:t>Lesbian, Gay, Bisexual</w:t>
            </w:r>
          </w:p>
        </w:tc>
        <w:tc>
          <w:tcPr>
            <w:tcW w:w="1956" w:type="dxa"/>
          </w:tcPr>
          <w:p w14:paraId="663EC3E7" w14:textId="4E98F0C7"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10EE7293" w14:textId="1BE2EE7A"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E95A78">
              <w:rPr>
                <w:rFonts w:cs="Arial"/>
              </w:rPr>
            </w:r>
            <w:r w:rsidR="00E95A78">
              <w:rPr>
                <w:rFonts w:cs="Arial"/>
              </w:rPr>
              <w:fldChar w:fldCharType="separate"/>
            </w:r>
            <w:r w:rsidRPr="00A100AA">
              <w:rPr>
                <w:rFonts w:cs="Arial"/>
              </w:rPr>
              <w:fldChar w:fldCharType="end"/>
            </w:r>
          </w:p>
        </w:tc>
        <w:tc>
          <w:tcPr>
            <w:tcW w:w="2336" w:type="dxa"/>
          </w:tcPr>
          <w:p w14:paraId="26AE3C55" w14:textId="12A81A8F"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r w:rsidR="00EA2B1D" w14:paraId="41B60C3A" w14:textId="77777777" w:rsidTr="00C15F76">
        <w:tc>
          <w:tcPr>
            <w:tcW w:w="8052" w:type="dxa"/>
          </w:tcPr>
          <w:p w14:paraId="1E24CB77" w14:textId="4FADD63E" w:rsidR="00EA2B1D" w:rsidRDefault="00EA2B1D" w:rsidP="00EA2B1D">
            <w:pPr>
              <w:rPr>
                <w:rFonts w:cs="Arial"/>
                <w:b/>
              </w:rPr>
            </w:pPr>
            <w:r>
              <w:rPr>
                <w:rFonts w:cs="Arial"/>
                <w:b/>
              </w:rPr>
              <w:t>Religion and Belief</w:t>
            </w:r>
          </w:p>
        </w:tc>
        <w:tc>
          <w:tcPr>
            <w:tcW w:w="1956" w:type="dxa"/>
          </w:tcPr>
          <w:p w14:paraId="049E43E4" w14:textId="5C59F29C"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469F3A06" w14:textId="11BC37D3"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E95A78">
              <w:rPr>
                <w:rFonts w:cs="Arial"/>
              </w:rPr>
            </w:r>
            <w:r w:rsidR="00E95A78">
              <w:rPr>
                <w:rFonts w:cs="Arial"/>
              </w:rPr>
              <w:fldChar w:fldCharType="separate"/>
            </w:r>
            <w:r w:rsidRPr="00A100AA">
              <w:rPr>
                <w:rFonts w:cs="Arial"/>
              </w:rPr>
              <w:fldChar w:fldCharType="end"/>
            </w:r>
          </w:p>
        </w:tc>
        <w:tc>
          <w:tcPr>
            <w:tcW w:w="2336" w:type="dxa"/>
          </w:tcPr>
          <w:p w14:paraId="6581DADC" w14:textId="560F9A0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r w:rsidR="00EA2B1D" w14:paraId="2CB84826" w14:textId="77777777" w:rsidTr="00C15F76">
        <w:tc>
          <w:tcPr>
            <w:tcW w:w="8052" w:type="dxa"/>
          </w:tcPr>
          <w:p w14:paraId="191635A0" w14:textId="73CC566C" w:rsidR="00EA2B1D" w:rsidRDefault="00EA2B1D" w:rsidP="00EA2B1D">
            <w:pPr>
              <w:rPr>
                <w:rFonts w:cs="Arial"/>
              </w:rPr>
            </w:pPr>
            <w:r>
              <w:rPr>
                <w:rFonts w:cs="Arial"/>
                <w:b/>
              </w:rPr>
              <w:t xml:space="preserve">Age: </w:t>
            </w:r>
            <w:r>
              <w:rPr>
                <w:rFonts w:cs="Arial"/>
              </w:rPr>
              <w:t>Young and Old</w:t>
            </w:r>
          </w:p>
        </w:tc>
        <w:tc>
          <w:tcPr>
            <w:tcW w:w="1956" w:type="dxa"/>
          </w:tcPr>
          <w:p w14:paraId="04140D7A" w14:textId="01BD2F3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1055A657" w14:textId="7A352B96"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E95A78">
              <w:rPr>
                <w:rFonts w:cs="Arial"/>
              </w:rPr>
            </w:r>
            <w:r w:rsidR="00E95A78">
              <w:rPr>
                <w:rFonts w:cs="Arial"/>
              </w:rPr>
              <w:fldChar w:fldCharType="separate"/>
            </w:r>
            <w:r w:rsidRPr="00A100AA">
              <w:rPr>
                <w:rFonts w:cs="Arial"/>
              </w:rPr>
              <w:fldChar w:fldCharType="end"/>
            </w:r>
          </w:p>
        </w:tc>
        <w:tc>
          <w:tcPr>
            <w:tcW w:w="2336" w:type="dxa"/>
          </w:tcPr>
          <w:p w14:paraId="40DB00BE" w14:textId="2F9482E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r w:rsidR="00EA2B1D" w14:paraId="356059BE" w14:textId="77777777" w:rsidTr="00C15F76">
        <w:tc>
          <w:tcPr>
            <w:tcW w:w="8052" w:type="dxa"/>
          </w:tcPr>
          <w:p w14:paraId="12489F08" w14:textId="4E4900D1" w:rsidR="00EA2B1D" w:rsidRDefault="00EA2B1D" w:rsidP="00EA2B1D">
            <w:pPr>
              <w:rPr>
                <w:rFonts w:cs="Arial"/>
                <w:b/>
              </w:rPr>
            </w:pPr>
            <w:r>
              <w:rPr>
                <w:rFonts w:cs="Arial"/>
                <w:b/>
              </w:rPr>
              <w:t>Marriage and Civil Partnerships</w:t>
            </w:r>
          </w:p>
        </w:tc>
        <w:tc>
          <w:tcPr>
            <w:tcW w:w="1956" w:type="dxa"/>
          </w:tcPr>
          <w:p w14:paraId="0709B4ED" w14:textId="51C994C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c>
          <w:tcPr>
            <w:tcW w:w="1604" w:type="dxa"/>
          </w:tcPr>
          <w:p w14:paraId="1A6E925C" w14:textId="03909FD5"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E95A78">
              <w:rPr>
                <w:rFonts w:cs="Arial"/>
              </w:rPr>
            </w:r>
            <w:r w:rsidR="00E95A78">
              <w:rPr>
                <w:rFonts w:cs="Arial"/>
              </w:rPr>
              <w:fldChar w:fldCharType="separate"/>
            </w:r>
            <w:r w:rsidRPr="00A100AA">
              <w:rPr>
                <w:rFonts w:cs="Arial"/>
              </w:rPr>
              <w:fldChar w:fldCharType="end"/>
            </w:r>
          </w:p>
        </w:tc>
        <w:tc>
          <w:tcPr>
            <w:tcW w:w="2336" w:type="dxa"/>
          </w:tcPr>
          <w:p w14:paraId="1EF197FC" w14:textId="6F6E2CD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E95A78">
              <w:rPr>
                <w:rFonts w:cs="Arial"/>
              </w:rPr>
            </w:r>
            <w:r w:rsidR="00E95A78">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13EF" w14:textId="77777777" w:rsidR="00291386" w:rsidRDefault="00291386" w:rsidP="0051530F">
      <w:pPr>
        <w:spacing w:after="0" w:line="240" w:lineRule="auto"/>
      </w:pPr>
      <w:r>
        <w:separator/>
      </w:r>
    </w:p>
  </w:endnote>
  <w:endnote w:type="continuationSeparator" w:id="0">
    <w:p w14:paraId="5961E093" w14:textId="77777777" w:rsidR="00291386" w:rsidRDefault="00291386"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386D5" w14:textId="77777777" w:rsidR="00291386" w:rsidRDefault="00291386" w:rsidP="0051530F">
      <w:pPr>
        <w:spacing w:after="0" w:line="240" w:lineRule="auto"/>
      </w:pPr>
      <w:r>
        <w:separator/>
      </w:r>
    </w:p>
  </w:footnote>
  <w:footnote w:type="continuationSeparator" w:id="0">
    <w:p w14:paraId="3B828095" w14:textId="77777777" w:rsidR="00291386" w:rsidRDefault="00291386"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C008F"/>
    <w:multiLevelType w:val="hybridMultilevel"/>
    <w:tmpl w:val="3ED86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CE6BC2"/>
    <w:multiLevelType w:val="hybridMultilevel"/>
    <w:tmpl w:val="9760AC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8440C72"/>
    <w:multiLevelType w:val="hybridMultilevel"/>
    <w:tmpl w:val="07688884"/>
    <w:lvl w:ilvl="0" w:tplc="A024FFE8">
      <w:start w:val="1"/>
      <w:numFmt w:val="decimal"/>
      <w:lvlText w:val="%1"/>
      <w:lvlJc w:val="left"/>
      <w:pPr>
        <w:ind w:left="1350" w:hanging="9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B337C5"/>
    <w:multiLevelType w:val="hybridMultilevel"/>
    <w:tmpl w:val="1ADA9DA4"/>
    <w:lvl w:ilvl="0" w:tplc="08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231813428">
    <w:abstractNumId w:val="0"/>
  </w:num>
  <w:num w:numId="2" w16cid:durableId="391541991">
    <w:abstractNumId w:val="13"/>
  </w:num>
  <w:num w:numId="3" w16cid:durableId="1563253333">
    <w:abstractNumId w:val="3"/>
  </w:num>
  <w:num w:numId="4" w16cid:durableId="1753770380">
    <w:abstractNumId w:val="18"/>
  </w:num>
  <w:num w:numId="5" w16cid:durableId="1157069096">
    <w:abstractNumId w:val="2"/>
  </w:num>
  <w:num w:numId="6" w16cid:durableId="1389189433">
    <w:abstractNumId w:val="13"/>
  </w:num>
  <w:num w:numId="7" w16cid:durableId="1220169030">
    <w:abstractNumId w:val="13"/>
  </w:num>
  <w:num w:numId="8" w16cid:durableId="1244414832">
    <w:abstractNumId w:val="11"/>
  </w:num>
  <w:num w:numId="9" w16cid:durableId="1119448003">
    <w:abstractNumId w:val="4"/>
  </w:num>
  <w:num w:numId="10" w16cid:durableId="975334851">
    <w:abstractNumId w:val="12"/>
  </w:num>
  <w:num w:numId="11" w16cid:durableId="1742093550">
    <w:abstractNumId w:val="0"/>
  </w:num>
  <w:num w:numId="12" w16cid:durableId="2049067532">
    <w:abstractNumId w:val="5"/>
  </w:num>
  <w:num w:numId="13" w16cid:durableId="1396080026">
    <w:abstractNumId w:val="10"/>
  </w:num>
  <w:num w:numId="14" w16cid:durableId="1563365003">
    <w:abstractNumId w:val="15"/>
  </w:num>
  <w:num w:numId="15" w16cid:durableId="572663346">
    <w:abstractNumId w:val="8"/>
  </w:num>
  <w:num w:numId="16" w16cid:durableId="42170979">
    <w:abstractNumId w:val="17"/>
  </w:num>
  <w:num w:numId="17" w16cid:durableId="1942451366">
    <w:abstractNumId w:val="16"/>
  </w:num>
  <w:num w:numId="18" w16cid:durableId="1251040686">
    <w:abstractNumId w:val="9"/>
  </w:num>
  <w:num w:numId="19" w16cid:durableId="1961379777">
    <w:abstractNumId w:val="1"/>
  </w:num>
  <w:num w:numId="20" w16cid:durableId="1472793692">
    <w:abstractNumId w:val="0"/>
  </w:num>
  <w:num w:numId="21" w16cid:durableId="1994411611">
    <w:abstractNumId w:val="7"/>
  </w:num>
  <w:num w:numId="22" w16cid:durableId="1404259364">
    <w:abstractNumId w:val="14"/>
  </w:num>
  <w:num w:numId="23" w16cid:durableId="1282834210">
    <w:abstractNumId w:val="0"/>
  </w:num>
  <w:num w:numId="24" w16cid:durableId="1382286109">
    <w:abstractNumId w:val="19"/>
  </w:num>
  <w:num w:numId="25" w16cid:durableId="565146999">
    <w:abstractNumId w:val="6"/>
  </w:num>
  <w:num w:numId="26" w16cid:durableId="658390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76929"/>
    <w:rsid w:val="001023AE"/>
    <w:rsid w:val="001048D3"/>
    <w:rsid w:val="00186457"/>
    <w:rsid w:val="001A020E"/>
    <w:rsid w:val="001A7996"/>
    <w:rsid w:val="002668E5"/>
    <w:rsid w:val="00291386"/>
    <w:rsid w:val="003A044F"/>
    <w:rsid w:val="003D1A11"/>
    <w:rsid w:val="003D2942"/>
    <w:rsid w:val="00430A86"/>
    <w:rsid w:val="0049464D"/>
    <w:rsid w:val="0051530F"/>
    <w:rsid w:val="005E576A"/>
    <w:rsid w:val="0063295E"/>
    <w:rsid w:val="00661012"/>
    <w:rsid w:val="0071268F"/>
    <w:rsid w:val="00776B73"/>
    <w:rsid w:val="00797910"/>
    <w:rsid w:val="007D1FD5"/>
    <w:rsid w:val="007E05CE"/>
    <w:rsid w:val="0082369F"/>
    <w:rsid w:val="0090198B"/>
    <w:rsid w:val="009A5655"/>
    <w:rsid w:val="009D0281"/>
    <w:rsid w:val="00A07A74"/>
    <w:rsid w:val="00A1024D"/>
    <w:rsid w:val="00A528AE"/>
    <w:rsid w:val="00AD0E11"/>
    <w:rsid w:val="00B03A5C"/>
    <w:rsid w:val="00B77C2E"/>
    <w:rsid w:val="00BB4BB6"/>
    <w:rsid w:val="00C143E8"/>
    <w:rsid w:val="00C15F76"/>
    <w:rsid w:val="00C670BF"/>
    <w:rsid w:val="00D4432B"/>
    <w:rsid w:val="00D82B54"/>
    <w:rsid w:val="00DF7EE1"/>
    <w:rsid w:val="00E24C76"/>
    <w:rsid w:val="00E64BB6"/>
    <w:rsid w:val="00E95A78"/>
    <w:rsid w:val="00EA2B1D"/>
    <w:rsid w:val="00EC1851"/>
    <w:rsid w:val="00ED6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DF7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effery.sibson@lincs.police.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p.college.gsi.gov.uk/app-content/cbrn/?s=" TargetMode="External"/><Relationship Id="rId23" Type="http://schemas.openxmlformats.org/officeDocument/2006/relationships/fontTable" Target="fontTable.xml"/><Relationship Id="rId10" Type="http://schemas.openxmlformats.org/officeDocument/2006/relationships/hyperlink" Target="http://www.legislation.gov.uk/ukpga/2010/15/cont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4203</Words>
  <Characters>23963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Chemical, biological, radiological and nuclear (CBRN) policy PD 94</vt:lpstr>
    </vt:vector>
  </TitlesOfParts>
  <Company>Lincolnshire Police</Company>
  <LinksUpToDate>false</LinksUpToDate>
  <CharactersWithSpaces>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biological, radiological and nuclear (CBRN) policy PD 94</dc:title>
  <dc:subject/>
  <dc:creator>david.hull@lincs.police.uk</dc:creator>
  <cp:keywords/>
  <dc:description/>
  <cp:lastModifiedBy>Jacquest, Michael</cp:lastModifiedBy>
  <cp:revision>3</cp:revision>
  <dcterms:created xsi:type="dcterms:W3CDTF">2024-05-20T12:52:00Z</dcterms:created>
  <dcterms:modified xsi:type="dcterms:W3CDTF">2024-05-21T07:38:00Z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